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749" w:rsidRPr="00D21749" w:rsidRDefault="00076527" w:rsidP="00D21749">
      <w:pPr>
        <w:spacing w:before="300" w:after="70" w:line="240" w:lineRule="auto"/>
        <w:ind w:left="70" w:right="70"/>
        <w:jc w:val="right"/>
        <w:rPr>
          <w:rFonts w:ascii="Verdana" w:eastAsia="Times New Roman" w:hAnsi="Verdana" w:cs="Times New Roman"/>
          <w:b/>
          <w:bCs/>
          <w:sz w:val="20"/>
          <w:szCs w:val="20"/>
          <w:lang w:eastAsia="es-AR"/>
        </w:rPr>
      </w:pPr>
      <w:r>
        <w:rPr>
          <w:rFonts w:ascii="Verdana" w:eastAsia="Times New Roman" w:hAnsi="Verdana" w:cs="Times New Roman"/>
          <w:b/>
          <w:bCs/>
          <w:sz w:val="24"/>
          <w:szCs w:val="24"/>
          <w:lang w:eastAsia="es-AR"/>
        </w:rPr>
        <w:t xml:space="preserve">Por: </w:t>
      </w:r>
      <w:r w:rsidR="00D21749" w:rsidRPr="00D21749">
        <w:rPr>
          <w:rFonts w:ascii="Verdana" w:eastAsia="Times New Roman" w:hAnsi="Verdana" w:cs="Times New Roman"/>
          <w:b/>
          <w:bCs/>
          <w:sz w:val="20"/>
          <w:szCs w:val="20"/>
          <w:lang w:eastAsia="es-AR"/>
        </w:rPr>
        <w:t>JOSÉ A. ALANIZ</w:t>
      </w:r>
      <w:hyperlink r:id="rId4" w:anchor="PIC_ALANIZ_Q0" w:tgtFrame="_self" w:history="1">
        <w:r w:rsidR="00D21749" w:rsidRPr="00D21749">
          <w:rPr>
            <w:rFonts w:ascii="Verdana" w:eastAsia="Times New Roman" w:hAnsi="Verdana" w:cs="Times New Roman"/>
            <w:b/>
            <w:bCs/>
            <w:color w:val="0000FF"/>
            <w:sz w:val="15"/>
            <w:u w:val="single"/>
            <w:lang w:eastAsia="es-AR"/>
          </w:rPr>
          <w:t>(*)</w:t>
        </w:r>
      </w:hyperlink>
    </w:p>
    <w:p w:rsidR="00D21749" w:rsidRPr="00D21749" w:rsidRDefault="00D21749" w:rsidP="00076527">
      <w:pPr>
        <w:spacing w:before="360" w:after="120" w:line="240" w:lineRule="auto"/>
        <w:ind w:left="70" w:right="70"/>
        <w:jc w:val="center"/>
        <w:rPr>
          <w:rFonts w:ascii="Verdana" w:eastAsia="Times New Roman" w:hAnsi="Verdana" w:cs="Times New Roman"/>
          <w:b/>
          <w:bCs/>
          <w:sz w:val="24"/>
          <w:szCs w:val="24"/>
          <w:lang w:eastAsia="es-AR"/>
        </w:rPr>
      </w:pPr>
      <w:r w:rsidRPr="00D21749">
        <w:rPr>
          <w:rFonts w:ascii="Verdana" w:eastAsia="Times New Roman" w:hAnsi="Verdana" w:cs="Times New Roman"/>
          <w:b/>
          <w:bCs/>
          <w:sz w:val="24"/>
          <w:szCs w:val="24"/>
          <w:lang w:eastAsia="es-AR"/>
        </w:rPr>
        <w:t>INGRESOS BRUTOS. CIUD</w:t>
      </w:r>
      <w:r w:rsidR="00076527">
        <w:rPr>
          <w:rFonts w:ascii="Verdana" w:eastAsia="Times New Roman" w:hAnsi="Verdana" w:cs="Times New Roman"/>
          <w:b/>
          <w:bCs/>
          <w:sz w:val="24"/>
          <w:szCs w:val="24"/>
          <w:lang w:eastAsia="es-AR"/>
        </w:rPr>
        <w:t xml:space="preserve">AD DE BUENOS AIRES. </w:t>
      </w:r>
      <w:r w:rsidRPr="00D21749">
        <w:rPr>
          <w:rFonts w:ascii="Verdana" w:eastAsia="Times New Roman" w:hAnsi="Verdana" w:cs="Times New Roman"/>
          <w:b/>
          <w:bCs/>
          <w:sz w:val="24"/>
          <w:szCs w:val="24"/>
          <w:lang w:eastAsia="es-AR"/>
        </w:rPr>
        <w:t>SISTEMA DE ATENUACIÓN DE ALÍCUOTAS DE RETENCIÓN Y PERCEPCIÓN</w:t>
      </w:r>
    </w:p>
    <w:p w:rsidR="00D21749" w:rsidRPr="00D21749" w:rsidRDefault="00D21749" w:rsidP="00D21749">
      <w:pPr>
        <w:spacing w:before="120" w:after="70" w:line="240" w:lineRule="auto"/>
        <w:ind w:left="70" w:right="70"/>
        <w:jc w:val="right"/>
        <w:rPr>
          <w:rFonts w:ascii="Verdana" w:eastAsia="Times New Roman" w:hAnsi="Verdana" w:cs="Times New Roman"/>
          <w:sz w:val="16"/>
          <w:szCs w:val="16"/>
          <w:lang w:eastAsia="es-AR"/>
        </w:rPr>
      </w:pPr>
      <w:r w:rsidRPr="00D21749">
        <w:rPr>
          <w:rFonts w:ascii="Verdana" w:eastAsia="Times New Roman" w:hAnsi="Verdana" w:cs="Times New Roman"/>
          <w:i/>
          <w:iCs/>
          <w:sz w:val="16"/>
          <w:szCs w:val="16"/>
          <w:lang w:eastAsia="es-AR"/>
        </w:rPr>
        <w:t>Un regalo para el día del contador público</w:t>
      </w:r>
    </w:p>
    <w:p w:rsidR="00D21749" w:rsidRPr="00D21749" w:rsidRDefault="00D21749" w:rsidP="00D21749">
      <w:pPr>
        <w:pBdr>
          <w:bottom w:val="single" w:sz="8" w:space="0" w:color="000000"/>
        </w:pBdr>
        <w:spacing w:before="400" w:line="240" w:lineRule="auto"/>
        <w:ind w:left="70" w:right="70"/>
        <w:jc w:val="both"/>
        <w:rPr>
          <w:rFonts w:ascii="Verdana" w:eastAsia="Times New Roman" w:hAnsi="Verdana" w:cs="Times New Roman"/>
          <w:b/>
          <w:bCs/>
          <w:lang w:eastAsia="es-AR"/>
        </w:rPr>
      </w:pPr>
      <w:r w:rsidRPr="00D21749">
        <w:rPr>
          <w:rFonts w:ascii="Verdana" w:eastAsia="Times New Roman" w:hAnsi="Verdana" w:cs="Times New Roman"/>
          <w:b/>
          <w:bCs/>
          <w:lang w:eastAsia="es-AR"/>
        </w:rPr>
        <w:t>I - INTRODUCCIÓN</w:t>
      </w:r>
    </w:p>
    <w:p w:rsidR="00D21749" w:rsidRPr="00D21749" w:rsidRDefault="00D21749" w:rsidP="00D21749">
      <w:pPr>
        <w:spacing w:before="80" w:after="70" w:line="240" w:lineRule="auto"/>
        <w:ind w:left="70" w:right="70" w:firstLine="70"/>
        <w:jc w:val="both"/>
        <w:rPr>
          <w:rFonts w:ascii="Verdana" w:eastAsia="Times New Roman" w:hAnsi="Verdana" w:cs="Times New Roman"/>
          <w:sz w:val="16"/>
          <w:szCs w:val="16"/>
          <w:lang w:eastAsia="es-AR"/>
        </w:rPr>
      </w:pPr>
      <w:r w:rsidRPr="00D21749">
        <w:rPr>
          <w:rFonts w:ascii="Verdana" w:eastAsia="Times New Roman" w:hAnsi="Verdana" w:cs="Times New Roman"/>
          <w:sz w:val="16"/>
          <w:szCs w:val="16"/>
          <w:lang w:eastAsia="es-AR"/>
        </w:rPr>
        <w:t xml:space="preserve">Tal como lo adelantáramos en el Ciclo de Actualidad de Impuestos Provinciales organizado por el Departamento de Capacitación de la editorial </w:t>
      </w:r>
      <w:proofErr w:type="spellStart"/>
      <w:r w:rsidRPr="00D21749">
        <w:rPr>
          <w:rFonts w:ascii="Verdana" w:eastAsia="Times New Roman" w:hAnsi="Verdana" w:cs="Times New Roman"/>
          <w:sz w:val="16"/>
          <w:szCs w:val="16"/>
          <w:lang w:eastAsia="es-AR"/>
        </w:rPr>
        <w:t>ERREPAR</w:t>
      </w:r>
      <w:proofErr w:type="spellEnd"/>
      <w:r w:rsidRPr="00D21749">
        <w:rPr>
          <w:rFonts w:ascii="Verdana" w:eastAsia="Times New Roman" w:hAnsi="Verdana" w:cs="Times New Roman"/>
          <w:sz w:val="16"/>
          <w:szCs w:val="16"/>
          <w:lang w:eastAsia="es-AR"/>
        </w:rPr>
        <w:t>, la Ciudad de Buenos Aires accede a aprobar un sistema de atenuación de alícuotas de retención y percepción del impuesto sobre los ingresos brutos, para aquellos contribuyentes (locales y del Convenio Multilateral) que tengan importantes saldos a favor contra la Comuna.</w:t>
      </w:r>
    </w:p>
    <w:p w:rsidR="00D21749" w:rsidRPr="00D21749" w:rsidRDefault="00D21749" w:rsidP="00D21749">
      <w:pPr>
        <w:spacing w:before="70" w:after="70" w:line="240" w:lineRule="auto"/>
        <w:ind w:left="70" w:right="70"/>
        <w:rPr>
          <w:rFonts w:ascii="Calibri" w:eastAsia="Times New Roman" w:hAnsi="Calibri" w:cs="Times New Roman"/>
          <w:sz w:val="24"/>
          <w:szCs w:val="24"/>
          <w:lang w:eastAsia="es-AR"/>
        </w:rPr>
      </w:pPr>
      <w:r w:rsidRPr="00D21749">
        <w:rPr>
          <w:rFonts w:ascii="Calibri" w:eastAsia="Times New Roman" w:hAnsi="Calibri" w:cs="Times New Roman"/>
          <w:sz w:val="24"/>
          <w:szCs w:val="24"/>
          <w:lang w:eastAsia="es-AR"/>
        </w:rPr>
        <w:t> </w:t>
      </w:r>
    </w:p>
    <w:tbl>
      <w:tblPr>
        <w:tblW w:w="4600" w:type="pct"/>
        <w:tblCellSpacing w:w="15" w:type="dxa"/>
        <w:tblCellMar>
          <w:top w:w="15" w:type="dxa"/>
          <w:left w:w="15" w:type="dxa"/>
          <w:bottom w:w="15" w:type="dxa"/>
          <w:right w:w="15" w:type="dxa"/>
        </w:tblCellMar>
        <w:tblLook w:val="04A0"/>
      </w:tblPr>
      <w:tblGrid>
        <w:gridCol w:w="8278"/>
      </w:tblGrid>
      <w:tr w:rsidR="00D21749" w:rsidRPr="00D21749" w:rsidTr="00D21749">
        <w:trPr>
          <w:tblCellSpacing w:w="15" w:type="dxa"/>
        </w:trPr>
        <w:tc>
          <w:tcPr>
            <w:tcW w:w="0" w:type="auto"/>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rsidR="00D21749" w:rsidRPr="00D21749" w:rsidRDefault="00D21749" w:rsidP="00D21749">
            <w:pPr>
              <w:spacing w:after="0" w:line="240" w:lineRule="auto"/>
              <w:ind w:left="70" w:right="70"/>
              <w:jc w:val="both"/>
              <w:rPr>
                <w:rFonts w:ascii="Verdana" w:eastAsia="Times New Roman" w:hAnsi="Verdana" w:cs="Times New Roman"/>
                <w:sz w:val="15"/>
                <w:szCs w:val="15"/>
                <w:lang w:eastAsia="es-AR"/>
              </w:rPr>
            </w:pPr>
            <w:r w:rsidRPr="00D21749">
              <w:rPr>
                <w:rFonts w:ascii="Verdana" w:eastAsia="Times New Roman" w:hAnsi="Verdana" w:cs="Times New Roman"/>
                <w:sz w:val="15"/>
                <w:szCs w:val="15"/>
                <w:lang w:eastAsia="es-AR"/>
              </w:rPr>
              <w:t>Legislación comparada: Córdoba prevé un sistema de exclusión inmediato de retenciones y percepción del impuesto sobre los ingresos brutos. Con solo acreditar la existencia de saldos a favor y realizar una proyección de bases imponibles y anticipos del impuesto, en la mayoría de los casos, se accede al reconocimiento, a los efectos de utilizar el saldo a favor acumulado. Todo ello en busca de contribuir al mejoramiento de la relación Fisco-contribuyente.</w:t>
            </w:r>
          </w:p>
        </w:tc>
      </w:tr>
    </w:tbl>
    <w:p w:rsidR="00D21749" w:rsidRPr="00D21749" w:rsidRDefault="00D21749" w:rsidP="00D21749">
      <w:pPr>
        <w:spacing w:before="70" w:after="70" w:line="240" w:lineRule="auto"/>
        <w:ind w:left="70" w:right="70"/>
        <w:rPr>
          <w:rFonts w:ascii="Calibri" w:eastAsia="Times New Roman" w:hAnsi="Calibri" w:cs="Times New Roman"/>
          <w:sz w:val="24"/>
          <w:szCs w:val="24"/>
          <w:lang w:eastAsia="es-AR"/>
        </w:rPr>
      </w:pPr>
      <w:r w:rsidRPr="00D21749">
        <w:rPr>
          <w:rFonts w:ascii="Calibri" w:eastAsia="Times New Roman" w:hAnsi="Calibri" w:cs="Times New Roman"/>
          <w:sz w:val="24"/>
          <w:szCs w:val="24"/>
          <w:lang w:eastAsia="es-AR"/>
        </w:rPr>
        <w:t> </w:t>
      </w:r>
    </w:p>
    <w:p w:rsidR="00D21749" w:rsidRPr="00D21749" w:rsidRDefault="00D21749" w:rsidP="00D21749">
      <w:pPr>
        <w:spacing w:before="80" w:after="70" w:line="240" w:lineRule="auto"/>
        <w:ind w:left="70" w:right="70" w:firstLine="70"/>
        <w:jc w:val="both"/>
        <w:rPr>
          <w:rFonts w:ascii="Verdana" w:eastAsia="Times New Roman" w:hAnsi="Verdana" w:cs="Times New Roman"/>
          <w:sz w:val="16"/>
          <w:szCs w:val="16"/>
          <w:lang w:eastAsia="es-AR"/>
        </w:rPr>
      </w:pPr>
      <w:r w:rsidRPr="00D21749">
        <w:rPr>
          <w:rFonts w:ascii="Verdana" w:eastAsia="Times New Roman" w:hAnsi="Verdana" w:cs="Times New Roman"/>
          <w:sz w:val="16"/>
          <w:szCs w:val="16"/>
          <w:lang w:eastAsia="es-AR"/>
        </w:rPr>
        <w:t>En cambio, la Ciudad de Buenos Aires acaba de aprobar (más vale tarde que nunca) un sistema de atenuación de alícuotas de recaudaciones que será de aplicación a partir del año nuevo. Un regalo para el “Día del Contador Público”, que viene a reconocer lo que muchos contribuyentes del Convenio Multilateral necesitan hace años.</w:t>
      </w:r>
    </w:p>
    <w:p w:rsidR="00D21749" w:rsidRPr="00D21749" w:rsidRDefault="00D21749" w:rsidP="00D21749">
      <w:pPr>
        <w:spacing w:before="80" w:after="70" w:line="240" w:lineRule="auto"/>
        <w:ind w:left="70" w:right="70" w:firstLine="70"/>
        <w:jc w:val="both"/>
        <w:rPr>
          <w:rFonts w:ascii="Verdana" w:eastAsia="Times New Roman" w:hAnsi="Verdana" w:cs="Times New Roman"/>
          <w:sz w:val="16"/>
          <w:szCs w:val="16"/>
          <w:lang w:eastAsia="es-AR"/>
        </w:rPr>
      </w:pPr>
      <w:r w:rsidRPr="00D21749">
        <w:rPr>
          <w:rFonts w:ascii="Verdana" w:eastAsia="Times New Roman" w:hAnsi="Verdana" w:cs="Times New Roman"/>
          <w:i/>
          <w:iCs/>
          <w:sz w:val="16"/>
          <w:szCs w:val="16"/>
          <w:lang w:eastAsia="es-AR"/>
        </w:rPr>
        <w:t>Legislación:</w:t>
      </w:r>
      <w:r w:rsidRPr="00D21749">
        <w:rPr>
          <w:rFonts w:ascii="Verdana" w:eastAsia="Times New Roman" w:hAnsi="Verdana" w:cs="Times New Roman"/>
          <w:sz w:val="16"/>
          <w:szCs w:val="16"/>
          <w:lang w:eastAsia="es-AR"/>
        </w:rPr>
        <w:t xml:space="preserve"> resolución (</w:t>
      </w:r>
      <w:proofErr w:type="spellStart"/>
      <w:r w:rsidRPr="00D21749">
        <w:rPr>
          <w:rFonts w:ascii="Verdana" w:eastAsia="Times New Roman" w:hAnsi="Verdana" w:cs="Times New Roman"/>
          <w:sz w:val="16"/>
          <w:szCs w:val="16"/>
          <w:lang w:eastAsia="es-AR"/>
        </w:rPr>
        <w:t>AGIP</w:t>
      </w:r>
      <w:proofErr w:type="spellEnd"/>
      <w:r w:rsidRPr="00D21749">
        <w:rPr>
          <w:rFonts w:ascii="Verdana" w:eastAsia="Times New Roman" w:hAnsi="Verdana" w:cs="Times New Roman"/>
          <w:sz w:val="16"/>
          <w:szCs w:val="16"/>
          <w:lang w:eastAsia="es-AR"/>
        </w:rPr>
        <w:t xml:space="preserve"> Bs. As. </w:t>
      </w:r>
      <w:proofErr w:type="spellStart"/>
      <w:r w:rsidRPr="00D21749">
        <w:rPr>
          <w:rFonts w:ascii="Verdana" w:eastAsia="Times New Roman" w:hAnsi="Verdana" w:cs="Times New Roman"/>
          <w:sz w:val="16"/>
          <w:szCs w:val="16"/>
          <w:lang w:eastAsia="es-AR"/>
        </w:rPr>
        <w:t>cdad</w:t>
      </w:r>
      <w:proofErr w:type="spellEnd"/>
      <w:r w:rsidRPr="00D21749">
        <w:rPr>
          <w:rFonts w:ascii="Verdana" w:eastAsia="Times New Roman" w:hAnsi="Verdana" w:cs="Times New Roman"/>
          <w:sz w:val="16"/>
          <w:szCs w:val="16"/>
          <w:lang w:eastAsia="es-AR"/>
        </w:rPr>
        <w:t>.) 816/2014 (</w:t>
      </w:r>
      <w:proofErr w:type="spellStart"/>
      <w:r w:rsidRPr="00D21749">
        <w:rPr>
          <w:rFonts w:ascii="Verdana" w:eastAsia="Times New Roman" w:hAnsi="Verdana" w:cs="Times New Roman"/>
          <w:sz w:val="16"/>
          <w:szCs w:val="16"/>
          <w:lang w:eastAsia="es-AR"/>
        </w:rPr>
        <w:t>BO</w:t>
      </w:r>
      <w:proofErr w:type="spellEnd"/>
      <w:r w:rsidRPr="00D21749">
        <w:rPr>
          <w:rFonts w:ascii="Verdana" w:eastAsia="Times New Roman" w:hAnsi="Verdana" w:cs="Times New Roman"/>
          <w:sz w:val="16"/>
          <w:szCs w:val="16"/>
          <w:lang w:eastAsia="es-AR"/>
        </w:rPr>
        <w:t>: 17/12/2014</w:t>
      </w:r>
      <w:hyperlink r:id="rId5" w:anchor="PIC_ALANIZ_Q1" w:tgtFrame="_self" w:history="1">
        <w:r w:rsidRPr="00D21749">
          <w:rPr>
            <w:rFonts w:ascii="Verdana" w:eastAsia="Times New Roman" w:hAnsi="Verdana" w:cs="Times New Roman"/>
            <w:color w:val="0000FF"/>
            <w:sz w:val="12"/>
            <w:u w:val="single"/>
            <w:lang w:eastAsia="es-AR"/>
          </w:rPr>
          <w:t>(1)</w:t>
        </w:r>
      </w:hyperlink>
      <w:r w:rsidRPr="00D21749">
        <w:rPr>
          <w:rFonts w:ascii="Verdana" w:eastAsia="Times New Roman" w:hAnsi="Verdana" w:cs="Times New Roman"/>
          <w:sz w:val="16"/>
          <w:szCs w:val="16"/>
          <w:lang w:eastAsia="es-AR"/>
        </w:rPr>
        <w:t>).</w:t>
      </w:r>
    </w:p>
    <w:p w:rsidR="00D21749" w:rsidRPr="00D21749" w:rsidRDefault="00D21749" w:rsidP="00D21749">
      <w:pPr>
        <w:pBdr>
          <w:bottom w:val="single" w:sz="8" w:space="0" w:color="000000"/>
        </w:pBdr>
        <w:spacing w:before="400" w:line="240" w:lineRule="auto"/>
        <w:ind w:left="70" w:right="70"/>
        <w:jc w:val="both"/>
        <w:rPr>
          <w:rFonts w:ascii="Verdana" w:eastAsia="Times New Roman" w:hAnsi="Verdana" w:cs="Times New Roman"/>
          <w:b/>
          <w:bCs/>
          <w:lang w:eastAsia="es-AR"/>
        </w:rPr>
      </w:pPr>
      <w:r w:rsidRPr="00D21749">
        <w:rPr>
          <w:rFonts w:ascii="Verdana" w:eastAsia="Times New Roman" w:hAnsi="Verdana" w:cs="Times New Roman"/>
          <w:b/>
          <w:bCs/>
          <w:lang w:eastAsia="es-AR"/>
        </w:rPr>
        <w:t>II - HACIENDO HISTORIA</w:t>
      </w:r>
    </w:p>
    <w:p w:rsidR="00D21749" w:rsidRPr="00D21749" w:rsidRDefault="00D21749" w:rsidP="00D21749">
      <w:pPr>
        <w:spacing w:before="80" w:after="70" w:line="240" w:lineRule="auto"/>
        <w:ind w:left="70" w:right="70" w:firstLine="70"/>
        <w:jc w:val="both"/>
        <w:rPr>
          <w:rFonts w:ascii="Verdana" w:eastAsia="Times New Roman" w:hAnsi="Verdana" w:cs="Times New Roman"/>
          <w:sz w:val="16"/>
          <w:szCs w:val="16"/>
          <w:lang w:eastAsia="es-AR"/>
        </w:rPr>
      </w:pPr>
      <w:r w:rsidRPr="00D21749">
        <w:rPr>
          <w:rFonts w:ascii="Verdana" w:eastAsia="Times New Roman" w:hAnsi="Verdana" w:cs="Times New Roman"/>
          <w:sz w:val="16"/>
          <w:szCs w:val="16"/>
          <w:lang w:eastAsia="es-AR"/>
        </w:rPr>
        <w:t>La Dirección General de Rentas de la Ciudad de Buenos Aires (</w:t>
      </w:r>
      <w:proofErr w:type="spellStart"/>
      <w:r w:rsidRPr="00D21749">
        <w:rPr>
          <w:rFonts w:ascii="Verdana" w:eastAsia="Times New Roman" w:hAnsi="Verdana" w:cs="Times New Roman"/>
          <w:sz w:val="16"/>
          <w:szCs w:val="16"/>
          <w:lang w:eastAsia="es-AR"/>
        </w:rPr>
        <w:t>DGR</w:t>
      </w:r>
      <w:proofErr w:type="spellEnd"/>
      <w:r w:rsidRPr="00D21749">
        <w:rPr>
          <w:rFonts w:ascii="Verdana" w:eastAsia="Times New Roman" w:hAnsi="Verdana" w:cs="Times New Roman"/>
          <w:sz w:val="16"/>
          <w:szCs w:val="16"/>
          <w:lang w:eastAsia="es-AR"/>
        </w:rPr>
        <w:t>), en el año 2001</w:t>
      </w:r>
      <w:hyperlink r:id="rId6" w:anchor="PIC_ALANIZ_Q2" w:tgtFrame="_self" w:history="1">
        <w:r w:rsidRPr="00D21749">
          <w:rPr>
            <w:rFonts w:ascii="Verdana" w:eastAsia="Times New Roman" w:hAnsi="Verdana" w:cs="Times New Roman"/>
            <w:color w:val="0000FF"/>
            <w:sz w:val="12"/>
            <w:u w:val="single"/>
            <w:lang w:eastAsia="es-AR"/>
          </w:rPr>
          <w:t>(2)</w:t>
        </w:r>
      </w:hyperlink>
      <w:r w:rsidRPr="00D21749">
        <w:rPr>
          <w:rFonts w:ascii="Verdana" w:eastAsia="Times New Roman" w:hAnsi="Verdana" w:cs="Times New Roman"/>
          <w:sz w:val="16"/>
          <w:szCs w:val="16"/>
          <w:lang w:eastAsia="es-AR"/>
        </w:rPr>
        <w:t>, derogó el último régimen de exclusión de retenciones y percepciones del impuesto sobre los ingresos brutos. O sea, luego de 13 años, vuelve a reinstaurar dicho mecanismo. Claro está, con diferencias abismales al anterior.</w:t>
      </w:r>
    </w:p>
    <w:p w:rsidR="00D21749" w:rsidRPr="00D21749" w:rsidRDefault="00D21749" w:rsidP="00D21749">
      <w:pPr>
        <w:spacing w:before="80" w:after="70" w:line="240" w:lineRule="auto"/>
        <w:ind w:left="70" w:right="70" w:firstLine="70"/>
        <w:jc w:val="both"/>
        <w:rPr>
          <w:rFonts w:ascii="Verdana" w:eastAsia="Times New Roman" w:hAnsi="Verdana" w:cs="Times New Roman"/>
          <w:sz w:val="16"/>
          <w:szCs w:val="16"/>
          <w:lang w:eastAsia="es-AR"/>
        </w:rPr>
      </w:pPr>
      <w:r w:rsidRPr="00D21749">
        <w:rPr>
          <w:rFonts w:ascii="Verdana" w:eastAsia="Times New Roman" w:hAnsi="Verdana" w:cs="Times New Roman"/>
          <w:sz w:val="16"/>
          <w:szCs w:val="16"/>
          <w:lang w:eastAsia="es-AR"/>
        </w:rPr>
        <w:t>Con ello advertimos -</w:t>
      </w:r>
      <w:r w:rsidRPr="00D21749">
        <w:rPr>
          <w:rFonts w:ascii="Verdana" w:eastAsia="Times New Roman" w:hAnsi="Verdana" w:cs="Times New Roman"/>
          <w:i/>
          <w:iCs/>
          <w:sz w:val="16"/>
          <w:szCs w:val="16"/>
          <w:lang w:eastAsia="es-AR"/>
        </w:rPr>
        <w:t xml:space="preserve">prima </w:t>
      </w:r>
      <w:proofErr w:type="spellStart"/>
      <w:r w:rsidRPr="00D21749">
        <w:rPr>
          <w:rFonts w:ascii="Verdana" w:eastAsia="Times New Roman" w:hAnsi="Verdana" w:cs="Times New Roman"/>
          <w:i/>
          <w:iCs/>
          <w:sz w:val="16"/>
          <w:szCs w:val="16"/>
          <w:lang w:eastAsia="es-AR"/>
        </w:rPr>
        <w:t>facie</w:t>
      </w:r>
      <w:proofErr w:type="spellEnd"/>
      <w:r w:rsidRPr="00D21749">
        <w:rPr>
          <w:rFonts w:ascii="Verdana" w:eastAsia="Times New Roman" w:hAnsi="Verdana" w:cs="Times New Roman"/>
          <w:sz w:val="16"/>
          <w:szCs w:val="16"/>
          <w:lang w:eastAsia="es-AR"/>
        </w:rPr>
        <w:t>- que el sistema está pensado a favor de la recaudación. Radicalmente distinto al derogado hace más de una década.</w:t>
      </w:r>
    </w:p>
    <w:p w:rsidR="00D21749" w:rsidRPr="00D21749" w:rsidRDefault="00D21749" w:rsidP="00D21749">
      <w:pPr>
        <w:pBdr>
          <w:bottom w:val="single" w:sz="8" w:space="0" w:color="000000"/>
        </w:pBdr>
        <w:spacing w:before="400" w:line="240" w:lineRule="auto"/>
        <w:ind w:left="70" w:right="70"/>
        <w:jc w:val="both"/>
        <w:rPr>
          <w:rFonts w:ascii="Verdana" w:eastAsia="Times New Roman" w:hAnsi="Verdana" w:cs="Times New Roman"/>
          <w:b/>
          <w:bCs/>
          <w:lang w:eastAsia="es-AR"/>
        </w:rPr>
      </w:pPr>
      <w:r w:rsidRPr="00D21749">
        <w:rPr>
          <w:rFonts w:ascii="Verdana" w:eastAsia="Times New Roman" w:hAnsi="Verdana" w:cs="Times New Roman"/>
          <w:b/>
          <w:bCs/>
          <w:lang w:eastAsia="es-AR"/>
        </w:rPr>
        <w:t>III - CONDICIONES GENERALES</w:t>
      </w:r>
    </w:p>
    <w:p w:rsidR="00D21749" w:rsidRPr="00D21749" w:rsidRDefault="00D21749" w:rsidP="00D21749">
      <w:pPr>
        <w:spacing w:before="80" w:after="70" w:line="240" w:lineRule="auto"/>
        <w:ind w:left="70" w:right="70" w:firstLine="70"/>
        <w:jc w:val="both"/>
        <w:rPr>
          <w:rFonts w:ascii="Verdana" w:eastAsia="Times New Roman" w:hAnsi="Verdana" w:cs="Times New Roman"/>
          <w:sz w:val="16"/>
          <w:szCs w:val="16"/>
          <w:lang w:eastAsia="es-AR"/>
        </w:rPr>
      </w:pPr>
      <w:r w:rsidRPr="00D21749">
        <w:rPr>
          <w:rFonts w:ascii="Verdana" w:eastAsia="Times New Roman" w:hAnsi="Verdana" w:cs="Times New Roman"/>
          <w:sz w:val="16"/>
          <w:szCs w:val="16"/>
          <w:lang w:eastAsia="es-AR"/>
        </w:rPr>
        <w:t>1. Resultar contribuyente del impuesto sobre los ingresos brutos por la Ciudad de Buenos Aires.</w:t>
      </w:r>
    </w:p>
    <w:p w:rsidR="00D21749" w:rsidRPr="00D21749" w:rsidRDefault="00D21749" w:rsidP="00D21749">
      <w:pPr>
        <w:spacing w:before="80" w:after="70" w:line="240" w:lineRule="auto"/>
        <w:ind w:left="70" w:right="70" w:firstLine="70"/>
        <w:jc w:val="both"/>
        <w:rPr>
          <w:rFonts w:ascii="Verdana" w:eastAsia="Times New Roman" w:hAnsi="Verdana" w:cs="Times New Roman"/>
          <w:sz w:val="16"/>
          <w:szCs w:val="16"/>
          <w:lang w:eastAsia="es-AR"/>
        </w:rPr>
      </w:pPr>
      <w:r w:rsidRPr="00D21749">
        <w:rPr>
          <w:rFonts w:ascii="Verdana" w:eastAsia="Times New Roman" w:hAnsi="Verdana" w:cs="Times New Roman"/>
          <w:b/>
          <w:bCs/>
          <w:i/>
          <w:iCs/>
          <w:sz w:val="16"/>
          <w:szCs w:val="16"/>
          <w:lang w:eastAsia="es-AR"/>
        </w:rPr>
        <w:t>La letra chica:</w:t>
      </w:r>
      <w:r w:rsidRPr="00D21749">
        <w:rPr>
          <w:rFonts w:ascii="Verdana" w:eastAsia="Times New Roman" w:hAnsi="Verdana" w:cs="Times New Roman"/>
          <w:i/>
          <w:iCs/>
          <w:sz w:val="16"/>
          <w:szCs w:val="16"/>
          <w:lang w:eastAsia="es-AR"/>
        </w:rPr>
        <w:t xml:space="preserve"> si a pesar de no ser contribuyente de la </w:t>
      </w:r>
      <w:proofErr w:type="spellStart"/>
      <w:r w:rsidRPr="00D21749">
        <w:rPr>
          <w:rFonts w:ascii="Verdana" w:eastAsia="Times New Roman" w:hAnsi="Verdana" w:cs="Times New Roman"/>
          <w:i/>
          <w:iCs/>
          <w:sz w:val="16"/>
          <w:szCs w:val="16"/>
          <w:lang w:eastAsia="es-AR"/>
        </w:rPr>
        <w:t>CABA</w:t>
      </w:r>
      <w:proofErr w:type="spellEnd"/>
      <w:r w:rsidRPr="00D21749">
        <w:rPr>
          <w:rFonts w:ascii="Verdana" w:eastAsia="Times New Roman" w:hAnsi="Verdana" w:cs="Times New Roman"/>
          <w:i/>
          <w:iCs/>
          <w:sz w:val="16"/>
          <w:szCs w:val="16"/>
          <w:lang w:eastAsia="es-AR"/>
        </w:rPr>
        <w:t xml:space="preserve">, me retienen/perciben por dicha jurisdicción, este sistema no resulta de aplicación. Vale la aclaración: de ninguna manera se debe acceder a la inscripción, por el solo hecho de lograr la exclusión de las recaudaciones por la Comuna. Proceden otras acciones legales, y no </w:t>
      </w:r>
      <w:proofErr w:type="spellStart"/>
      <w:r w:rsidRPr="00D21749">
        <w:rPr>
          <w:rFonts w:ascii="Verdana" w:eastAsia="Times New Roman" w:hAnsi="Verdana" w:cs="Times New Roman"/>
          <w:i/>
          <w:iCs/>
          <w:sz w:val="16"/>
          <w:szCs w:val="16"/>
          <w:lang w:eastAsia="es-AR"/>
        </w:rPr>
        <w:t>esta</w:t>
      </w:r>
      <w:proofErr w:type="spellEnd"/>
      <w:r w:rsidRPr="00D21749">
        <w:rPr>
          <w:rFonts w:ascii="Verdana" w:eastAsia="Times New Roman" w:hAnsi="Verdana" w:cs="Times New Roman"/>
          <w:i/>
          <w:iCs/>
          <w:sz w:val="16"/>
          <w:szCs w:val="16"/>
          <w:lang w:eastAsia="es-AR"/>
        </w:rPr>
        <w:t>.</w:t>
      </w:r>
    </w:p>
    <w:p w:rsidR="00D21749" w:rsidRPr="00D21749" w:rsidRDefault="00D21749" w:rsidP="00D21749">
      <w:pPr>
        <w:spacing w:before="80" w:after="70" w:line="240" w:lineRule="auto"/>
        <w:ind w:left="70" w:right="70" w:firstLine="70"/>
        <w:jc w:val="both"/>
        <w:rPr>
          <w:rFonts w:ascii="Verdana" w:eastAsia="Times New Roman" w:hAnsi="Verdana" w:cs="Times New Roman"/>
          <w:sz w:val="16"/>
          <w:szCs w:val="16"/>
          <w:lang w:eastAsia="es-AR"/>
        </w:rPr>
      </w:pPr>
      <w:r w:rsidRPr="00D21749">
        <w:rPr>
          <w:rFonts w:ascii="Verdana" w:eastAsia="Times New Roman" w:hAnsi="Verdana" w:cs="Times New Roman"/>
          <w:sz w:val="16"/>
          <w:szCs w:val="16"/>
          <w:lang w:eastAsia="es-AR"/>
        </w:rPr>
        <w:t>2. La generación permanente de saldos a favor.</w:t>
      </w:r>
    </w:p>
    <w:p w:rsidR="00D21749" w:rsidRPr="00D21749" w:rsidRDefault="00D21749" w:rsidP="00D21749">
      <w:pPr>
        <w:spacing w:before="80" w:after="70" w:line="240" w:lineRule="auto"/>
        <w:ind w:left="70" w:right="70" w:firstLine="70"/>
        <w:jc w:val="both"/>
        <w:rPr>
          <w:rFonts w:ascii="Verdana" w:eastAsia="Times New Roman" w:hAnsi="Verdana" w:cs="Times New Roman"/>
          <w:sz w:val="16"/>
          <w:szCs w:val="16"/>
          <w:lang w:eastAsia="es-AR"/>
        </w:rPr>
      </w:pPr>
      <w:r w:rsidRPr="00D21749">
        <w:rPr>
          <w:rFonts w:ascii="Verdana" w:eastAsia="Times New Roman" w:hAnsi="Verdana" w:cs="Times New Roman"/>
          <w:b/>
          <w:bCs/>
          <w:i/>
          <w:iCs/>
          <w:sz w:val="16"/>
          <w:szCs w:val="16"/>
          <w:lang w:eastAsia="es-AR"/>
        </w:rPr>
        <w:t>La letra chica:</w:t>
      </w:r>
      <w:r w:rsidRPr="00D21749">
        <w:rPr>
          <w:rFonts w:ascii="Verdana" w:eastAsia="Times New Roman" w:hAnsi="Verdana" w:cs="Times New Roman"/>
          <w:i/>
          <w:iCs/>
          <w:sz w:val="16"/>
          <w:szCs w:val="16"/>
          <w:lang w:eastAsia="es-AR"/>
        </w:rPr>
        <w:t xml:space="preserve"> se exige por un período prolongado la generación de saldos a favor.</w:t>
      </w:r>
    </w:p>
    <w:p w:rsidR="00D21749" w:rsidRPr="00D21749" w:rsidRDefault="00D21749" w:rsidP="00D21749">
      <w:pPr>
        <w:spacing w:before="80" w:after="70" w:line="240" w:lineRule="auto"/>
        <w:ind w:left="70" w:right="70" w:firstLine="70"/>
        <w:jc w:val="both"/>
        <w:rPr>
          <w:rFonts w:ascii="Verdana" w:eastAsia="Times New Roman" w:hAnsi="Verdana" w:cs="Times New Roman"/>
          <w:sz w:val="16"/>
          <w:szCs w:val="16"/>
          <w:lang w:eastAsia="es-AR"/>
        </w:rPr>
      </w:pPr>
      <w:r w:rsidRPr="00D21749">
        <w:rPr>
          <w:rFonts w:ascii="Verdana" w:eastAsia="Times New Roman" w:hAnsi="Verdana" w:cs="Times New Roman"/>
          <w:i/>
          <w:iCs/>
          <w:sz w:val="16"/>
          <w:szCs w:val="16"/>
          <w:lang w:eastAsia="es-AR"/>
        </w:rPr>
        <w:t>El mero hecho de contar con saldos a favor acumulados no habilita la aplicación del presente régimen de atenuación.</w:t>
      </w:r>
    </w:p>
    <w:p w:rsidR="00D21749" w:rsidRPr="00D21749" w:rsidRDefault="00D21749" w:rsidP="00D21749">
      <w:pPr>
        <w:spacing w:before="80" w:after="70" w:line="240" w:lineRule="auto"/>
        <w:ind w:left="70" w:right="70" w:firstLine="70"/>
        <w:jc w:val="both"/>
        <w:rPr>
          <w:rFonts w:ascii="Verdana" w:eastAsia="Times New Roman" w:hAnsi="Verdana" w:cs="Times New Roman"/>
          <w:sz w:val="16"/>
          <w:szCs w:val="16"/>
          <w:lang w:eastAsia="es-AR"/>
        </w:rPr>
      </w:pPr>
      <w:r w:rsidRPr="00D21749">
        <w:rPr>
          <w:rFonts w:ascii="Verdana" w:eastAsia="Times New Roman" w:hAnsi="Verdana" w:cs="Times New Roman"/>
          <w:sz w:val="16"/>
          <w:szCs w:val="16"/>
          <w:lang w:eastAsia="es-AR"/>
        </w:rPr>
        <w:t>3. La generación permanente de saldos a favor.</w:t>
      </w:r>
    </w:p>
    <w:p w:rsidR="00D21749" w:rsidRPr="00D21749" w:rsidRDefault="00D21749" w:rsidP="00D21749">
      <w:pPr>
        <w:spacing w:before="80" w:after="70" w:line="240" w:lineRule="auto"/>
        <w:ind w:left="70" w:right="70" w:firstLine="70"/>
        <w:jc w:val="both"/>
        <w:rPr>
          <w:rFonts w:ascii="Verdana" w:eastAsia="Times New Roman" w:hAnsi="Verdana" w:cs="Times New Roman"/>
          <w:sz w:val="16"/>
          <w:szCs w:val="16"/>
          <w:lang w:eastAsia="es-AR"/>
        </w:rPr>
      </w:pPr>
      <w:r w:rsidRPr="00D21749">
        <w:rPr>
          <w:rFonts w:ascii="Verdana" w:eastAsia="Times New Roman" w:hAnsi="Verdana" w:cs="Times New Roman"/>
          <w:b/>
          <w:bCs/>
          <w:i/>
          <w:iCs/>
          <w:sz w:val="16"/>
          <w:szCs w:val="16"/>
          <w:lang w:eastAsia="es-AR"/>
        </w:rPr>
        <w:t>La letra chica:</w:t>
      </w:r>
      <w:r w:rsidRPr="00D21749">
        <w:rPr>
          <w:rFonts w:ascii="Verdana" w:eastAsia="Times New Roman" w:hAnsi="Verdana" w:cs="Times New Roman"/>
          <w:i/>
          <w:iCs/>
          <w:sz w:val="16"/>
          <w:szCs w:val="16"/>
          <w:lang w:eastAsia="es-AR"/>
        </w:rPr>
        <w:t xml:space="preserve"> se exige por un período prolongado la generación de saldos a favor.</w:t>
      </w:r>
    </w:p>
    <w:p w:rsidR="00D21749" w:rsidRPr="00D21749" w:rsidRDefault="00D21749" w:rsidP="00D21749">
      <w:pPr>
        <w:spacing w:before="80" w:after="70" w:line="240" w:lineRule="auto"/>
        <w:ind w:left="70" w:right="70" w:firstLine="70"/>
        <w:jc w:val="both"/>
        <w:rPr>
          <w:rFonts w:ascii="Verdana" w:eastAsia="Times New Roman" w:hAnsi="Verdana" w:cs="Times New Roman"/>
          <w:sz w:val="16"/>
          <w:szCs w:val="16"/>
          <w:lang w:eastAsia="es-AR"/>
        </w:rPr>
      </w:pPr>
      <w:r w:rsidRPr="00D21749">
        <w:rPr>
          <w:rFonts w:ascii="Verdana" w:eastAsia="Times New Roman" w:hAnsi="Verdana" w:cs="Times New Roman"/>
          <w:sz w:val="16"/>
          <w:szCs w:val="16"/>
          <w:lang w:eastAsia="es-AR"/>
        </w:rPr>
        <w:t>4. El Fisco evaluará las alícuotas impositivas para otorgar la atenuación.</w:t>
      </w:r>
    </w:p>
    <w:p w:rsidR="00D21749" w:rsidRPr="00D21749" w:rsidRDefault="00D21749" w:rsidP="00D21749">
      <w:pPr>
        <w:spacing w:before="80" w:after="70" w:line="240" w:lineRule="auto"/>
        <w:ind w:left="70" w:right="70" w:firstLine="70"/>
        <w:jc w:val="both"/>
        <w:rPr>
          <w:rFonts w:ascii="Verdana" w:eastAsia="Times New Roman" w:hAnsi="Verdana" w:cs="Times New Roman"/>
          <w:sz w:val="16"/>
          <w:szCs w:val="16"/>
          <w:lang w:eastAsia="es-AR"/>
        </w:rPr>
      </w:pPr>
      <w:r w:rsidRPr="00D21749">
        <w:rPr>
          <w:rFonts w:ascii="Verdana" w:eastAsia="Times New Roman" w:hAnsi="Verdana" w:cs="Times New Roman"/>
          <w:b/>
          <w:bCs/>
          <w:i/>
          <w:iCs/>
          <w:sz w:val="16"/>
          <w:szCs w:val="16"/>
          <w:lang w:eastAsia="es-AR"/>
        </w:rPr>
        <w:t>La letra chica:</w:t>
      </w:r>
      <w:r w:rsidRPr="00D21749">
        <w:rPr>
          <w:rFonts w:ascii="Verdana" w:eastAsia="Times New Roman" w:hAnsi="Verdana" w:cs="Times New Roman"/>
          <w:i/>
          <w:iCs/>
          <w:sz w:val="16"/>
          <w:szCs w:val="16"/>
          <w:lang w:eastAsia="es-AR"/>
        </w:rPr>
        <w:t xml:space="preserve"> la exclusión no es inmediata. El Fisco evaluará las alícuotas impositivas aplicadas (contribuyente - agentes), para luego otorgar o no el beneficio de la atenuación.</w:t>
      </w:r>
    </w:p>
    <w:p w:rsidR="00D21749" w:rsidRPr="00D21749" w:rsidRDefault="00D21749" w:rsidP="00D21749">
      <w:pPr>
        <w:spacing w:before="80" w:after="70" w:line="240" w:lineRule="auto"/>
        <w:ind w:left="180" w:right="70"/>
        <w:jc w:val="both"/>
        <w:rPr>
          <w:rFonts w:ascii="Verdana" w:eastAsia="Times New Roman" w:hAnsi="Verdana" w:cs="Times New Roman"/>
          <w:sz w:val="16"/>
          <w:szCs w:val="16"/>
          <w:lang w:eastAsia="es-AR"/>
        </w:rPr>
      </w:pPr>
      <w:r w:rsidRPr="00D21749">
        <w:rPr>
          <w:rFonts w:ascii="Verdana" w:eastAsia="Times New Roman" w:hAnsi="Verdana" w:cs="Times New Roman"/>
          <w:sz w:val="16"/>
          <w:szCs w:val="16"/>
          <w:lang w:eastAsia="es-AR"/>
        </w:rPr>
        <w:lastRenderedPageBreak/>
        <w:t xml:space="preserve">4.1. Evaluar: se prevé que las solicitudes de atenuación de alícuotas podrán ser remitidas a la Dirección de Análisis e Investigación dependiente de la Subdirección General de Grandes Contribuyentes y Evaluación Tributaria y a la Subdirección General de Fiscalización de la </w:t>
      </w:r>
      <w:proofErr w:type="spellStart"/>
      <w:r w:rsidRPr="00D21749">
        <w:rPr>
          <w:rFonts w:ascii="Verdana" w:eastAsia="Times New Roman" w:hAnsi="Verdana" w:cs="Times New Roman"/>
          <w:sz w:val="16"/>
          <w:szCs w:val="16"/>
          <w:lang w:eastAsia="es-AR"/>
        </w:rPr>
        <w:t>DGR</w:t>
      </w:r>
      <w:proofErr w:type="spellEnd"/>
      <w:r w:rsidRPr="00D21749">
        <w:rPr>
          <w:rFonts w:ascii="Verdana" w:eastAsia="Times New Roman" w:hAnsi="Verdana" w:cs="Times New Roman"/>
          <w:sz w:val="16"/>
          <w:szCs w:val="16"/>
          <w:lang w:eastAsia="es-AR"/>
        </w:rPr>
        <w:t>, para la generación del cargo de fiscalización respectivo a los fines de verificar la situación fiscal del contribuyente con relación a la liquidación del impuesto y la procedencia de los saldos a favor invocados.</w:t>
      </w:r>
    </w:p>
    <w:p w:rsidR="00D21749" w:rsidRPr="00D21749" w:rsidRDefault="00D21749" w:rsidP="00D21749">
      <w:pPr>
        <w:spacing w:before="80" w:after="70" w:line="240" w:lineRule="auto"/>
        <w:ind w:left="180" w:right="70"/>
        <w:jc w:val="both"/>
        <w:rPr>
          <w:rFonts w:ascii="Verdana" w:eastAsia="Times New Roman" w:hAnsi="Verdana" w:cs="Times New Roman"/>
          <w:sz w:val="16"/>
          <w:szCs w:val="16"/>
          <w:lang w:eastAsia="es-AR"/>
        </w:rPr>
      </w:pPr>
      <w:r w:rsidRPr="00D21749">
        <w:rPr>
          <w:rFonts w:ascii="Verdana" w:eastAsia="Times New Roman" w:hAnsi="Verdana" w:cs="Times New Roman"/>
          <w:sz w:val="16"/>
          <w:szCs w:val="16"/>
          <w:lang w:eastAsia="es-AR"/>
        </w:rPr>
        <w:t>4.2. Atenuación: denotamos que no se prevé la exclusión. Y con ello advertimos sobre la imposibilidad de utilizar el saldo a favor acumulado del impuesto.</w:t>
      </w:r>
    </w:p>
    <w:p w:rsidR="00D21749" w:rsidRPr="00D21749" w:rsidRDefault="00D21749" w:rsidP="00D21749">
      <w:pPr>
        <w:pBdr>
          <w:bottom w:val="single" w:sz="8" w:space="0" w:color="000000"/>
        </w:pBdr>
        <w:spacing w:before="400" w:line="240" w:lineRule="auto"/>
        <w:ind w:left="70" w:right="70"/>
        <w:jc w:val="both"/>
        <w:rPr>
          <w:rFonts w:ascii="Verdana" w:eastAsia="Times New Roman" w:hAnsi="Verdana" w:cs="Times New Roman"/>
          <w:b/>
          <w:bCs/>
          <w:lang w:eastAsia="es-AR"/>
        </w:rPr>
      </w:pPr>
      <w:r w:rsidRPr="00D21749">
        <w:rPr>
          <w:rFonts w:ascii="Verdana" w:eastAsia="Times New Roman" w:hAnsi="Verdana" w:cs="Times New Roman"/>
          <w:b/>
          <w:bCs/>
          <w:lang w:eastAsia="es-AR"/>
        </w:rPr>
        <w:t>IV - RECAUDACIONES EXCLUIDAS</w:t>
      </w:r>
    </w:p>
    <w:p w:rsidR="00D21749" w:rsidRPr="00D21749" w:rsidRDefault="00D21749" w:rsidP="00D21749">
      <w:pPr>
        <w:spacing w:before="80" w:after="70" w:line="240" w:lineRule="auto"/>
        <w:ind w:left="70" w:right="70" w:firstLine="70"/>
        <w:jc w:val="both"/>
        <w:rPr>
          <w:rFonts w:ascii="Verdana" w:eastAsia="Times New Roman" w:hAnsi="Verdana" w:cs="Times New Roman"/>
          <w:sz w:val="16"/>
          <w:szCs w:val="16"/>
          <w:lang w:eastAsia="es-AR"/>
        </w:rPr>
      </w:pPr>
      <w:r w:rsidRPr="00D21749">
        <w:rPr>
          <w:rFonts w:ascii="Verdana" w:eastAsia="Times New Roman" w:hAnsi="Verdana" w:cs="Times New Roman"/>
          <w:sz w:val="16"/>
          <w:szCs w:val="16"/>
          <w:lang w:eastAsia="es-AR"/>
        </w:rPr>
        <w:t>Se excluye del presente mecanismo de atenuación al Sistema de Recaudación sobre Operaciones de Importación Definitiva a Consumo de Mercaderías (</w:t>
      </w:r>
      <w:proofErr w:type="spellStart"/>
      <w:r w:rsidRPr="00D21749">
        <w:rPr>
          <w:rFonts w:ascii="Verdana" w:eastAsia="Times New Roman" w:hAnsi="Verdana" w:cs="Times New Roman"/>
          <w:sz w:val="16"/>
          <w:szCs w:val="16"/>
          <w:lang w:eastAsia="es-AR"/>
        </w:rPr>
        <w:t>SIRPEI</w:t>
      </w:r>
      <w:proofErr w:type="spellEnd"/>
      <w:r w:rsidRPr="00D21749">
        <w:rPr>
          <w:rFonts w:ascii="Verdana" w:eastAsia="Times New Roman" w:hAnsi="Verdana" w:cs="Times New Roman"/>
          <w:sz w:val="16"/>
          <w:szCs w:val="16"/>
          <w:lang w:eastAsia="es-AR"/>
        </w:rPr>
        <w:t>).</w:t>
      </w:r>
    </w:p>
    <w:p w:rsidR="00D21749" w:rsidRPr="00D21749" w:rsidRDefault="00D21749" w:rsidP="00D21749">
      <w:pPr>
        <w:pBdr>
          <w:bottom w:val="single" w:sz="8" w:space="0" w:color="000000"/>
        </w:pBdr>
        <w:spacing w:before="400" w:line="240" w:lineRule="auto"/>
        <w:ind w:left="70" w:right="70"/>
        <w:jc w:val="both"/>
        <w:rPr>
          <w:rFonts w:ascii="Verdana" w:eastAsia="Times New Roman" w:hAnsi="Verdana" w:cs="Times New Roman"/>
          <w:b/>
          <w:bCs/>
          <w:lang w:eastAsia="es-AR"/>
        </w:rPr>
      </w:pPr>
      <w:r w:rsidRPr="00D21749">
        <w:rPr>
          <w:rFonts w:ascii="Verdana" w:eastAsia="Times New Roman" w:hAnsi="Verdana" w:cs="Times New Roman"/>
          <w:b/>
          <w:bCs/>
          <w:lang w:eastAsia="es-AR"/>
        </w:rPr>
        <w:t>V - SITUACIONES COMPRENDIDAS EN EL RÉGIMEN DE ATENUACIÓN</w:t>
      </w:r>
    </w:p>
    <w:p w:rsidR="00D21749" w:rsidRPr="00D21749" w:rsidRDefault="00D21749" w:rsidP="00D21749">
      <w:pPr>
        <w:spacing w:before="120" w:after="70" w:line="240" w:lineRule="auto"/>
        <w:ind w:left="70" w:right="70"/>
        <w:jc w:val="both"/>
        <w:rPr>
          <w:rFonts w:ascii="Verdana" w:eastAsia="Times New Roman" w:hAnsi="Verdana" w:cs="Times New Roman"/>
          <w:sz w:val="16"/>
          <w:szCs w:val="16"/>
          <w:lang w:eastAsia="es-AR"/>
        </w:rPr>
      </w:pPr>
      <w:r w:rsidRPr="00D21749">
        <w:rPr>
          <w:rFonts w:ascii="Verdana" w:eastAsia="Times New Roman" w:hAnsi="Verdana" w:cs="Times New Roman"/>
          <w:b/>
          <w:bCs/>
          <w:sz w:val="16"/>
          <w:szCs w:val="16"/>
          <w:lang w:eastAsia="es-AR"/>
        </w:rPr>
        <w:t>a) Casos especiales</w:t>
      </w:r>
    </w:p>
    <w:p w:rsidR="00D21749" w:rsidRPr="00D21749" w:rsidRDefault="00D21749" w:rsidP="00D21749">
      <w:pPr>
        <w:spacing w:before="80" w:after="70" w:line="240" w:lineRule="auto"/>
        <w:ind w:left="70" w:right="70" w:firstLine="70"/>
        <w:jc w:val="both"/>
        <w:rPr>
          <w:rFonts w:ascii="Verdana" w:eastAsia="Times New Roman" w:hAnsi="Verdana" w:cs="Times New Roman"/>
          <w:sz w:val="16"/>
          <w:szCs w:val="16"/>
          <w:lang w:eastAsia="es-AR"/>
        </w:rPr>
      </w:pPr>
      <w:r w:rsidRPr="00D21749">
        <w:rPr>
          <w:rFonts w:ascii="Verdana" w:eastAsia="Times New Roman" w:hAnsi="Verdana" w:cs="Times New Roman"/>
          <w:sz w:val="16"/>
          <w:szCs w:val="16"/>
          <w:lang w:eastAsia="es-AR"/>
        </w:rPr>
        <w:t>Se prevé que</w:t>
      </w:r>
      <w:r w:rsidRPr="00D21749">
        <w:rPr>
          <w:rFonts w:ascii="Verdana" w:eastAsia="Times New Roman" w:hAnsi="Verdana" w:cs="Times New Roman"/>
          <w:b/>
          <w:bCs/>
          <w:sz w:val="16"/>
          <w:szCs w:val="16"/>
          <w:lang w:eastAsia="es-AR"/>
        </w:rPr>
        <w:t xml:space="preserve"> </w:t>
      </w:r>
      <w:r w:rsidRPr="00D21749">
        <w:rPr>
          <w:rFonts w:ascii="Verdana" w:eastAsia="Times New Roman" w:hAnsi="Verdana" w:cs="Times New Roman"/>
          <w:sz w:val="16"/>
          <w:szCs w:val="16"/>
          <w:lang w:eastAsia="es-AR"/>
        </w:rPr>
        <w:t xml:space="preserve">en el supuesto de que las alícuotas aplicadas por el Sistema de Agentes de Retención y/o Percepción generen a los contribuyentes saldos a favor permanentes, la </w:t>
      </w:r>
      <w:proofErr w:type="spellStart"/>
      <w:r w:rsidRPr="00D21749">
        <w:rPr>
          <w:rFonts w:ascii="Verdana" w:eastAsia="Times New Roman" w:hAnsi="Verdana" w:cs="Times New Roman"/>
          <w:sz w:val="16"/>
          <w:szCs w:val="16"/>
          <w:lang w:eastAsia="es-AR"/>
        </w:rPr>
        <w:t>DGR</w:t>
      </w:r>
      <w:proofErr w:type="spellEnd"/>
      <w:r w:rsidRPr="00D21749">
        <w:rPr>
          <w:rFonts w:ascii="Verdana" w:eastAsia="Times New Roman" w:hAnsi="Verdana" w:cs="Times New Roman"/>
          <w:sz w:val="16"/>
          <w:szCs w:val="16"/>
          <w:lang w:eastAsia="es-AR"/>
        </w:rPr>
        <w:t xml:space="preserve"> podrá incorporarlos en alguno de los siguientes padrones de contribuyentes:</w:t>
      </w:r>
    </w:p>
    <w:p w:rsidR="00D21749" w:rsidRPr="00D21749" w:rsidRDefault="00D21749" w:rsidP="00D21749">
      <w:pPr>
        <w:spacing w:before="80" w:after="70" w:line="240" w:lineRule="auto"/>
        <w:ind w:left="180" w:right="70"/>
        <w:jc w:val="both"/>
        <w:rPr>
          <w:rFonts w:ascii="Verdana" w:eastAsia="Times New Roman" w:hAnsi="Verdana" w:cs="Times New Roman"/>
          <w:sz w:val="16"/>
          <w:szCs w:val="16"/>
          <w:lang w:eastAsia="es-AR"/>
        </w:rPr>
      </w:pPr>
      <w:r w:rsidRPr="00D21749">
        <w:rPr>
          <w:rFonts w:ascii="Verdana" w:eastAsia="Times New Roman" w:hAnsi="Verdana" w:cs="Times New Roman"/>
          <w:sz w:val="16"/>
          <w:szCs w:val="16"/>
          <w:lang w:eastAsia="es-AR"/>
        </w:rPr>
        <w:t>1. Padrón de Contribuyentes Exentos.</w:t>
      </w:r>
    </w:p>
    <w:p w:rsidR="00D21749" w:rsidRPr="00D21749" w:rsidRDefault="00D21749" w:rsidP="00D21749">
      <w:pPr>
        <w:spacing w:before="80" w:after="70" w:line="240" w:lineRule="auto"/>
        <w:ind w:left="180" w:right="70"/>
        <w:jc w:val="both"/>
        <w:rPr>
          <w:rFonts w:ascii="Verdana" w:eastAsia="Times New Roman" w:hAnsi="Verdana" w:cs="Times New Roman"/>
          <w:sz w:val="16"/>
          <w:szCs w:val="16"/>
          <w:lang w:eastAsia="es-AR"/>
        </w:rPr>
      </w:pPr>
      <w:r w:rsidRPr="00D21749">
        <w:rPr>
          <w:rFonts w:ascii="Verdana" w:eastAsia="Times New Roman" w:hAnsi="Verdana" w:cs="Times New Roman"/>
          <w:sz w:val="16"/>
          <w:szCs w:val="16"/>
          <w:lang w:eastAsia="es-AR"/>
        </w:rPr>
        <w:t>2. Padrón de Contribuyentes de Actividades Promovidas.</w:t>
      </w:r>
    </w:p>
    <w:p w:rsidR="00D21749" w:rsidRPr="00D21749" w:rsidRDefault="00D21749" w:rsidP="00D21749">
      <w:pPr>
        <w:spacing w:before="80" w:after="70" w:line="240" w:lineRule="auto"/>
        <w:ind w:left="180" w:right="70"/>
        <w:jc w:val="both"/>
        <w:rPr>
          <w:rFonts w:ascii="Verdana" w:eastAsia="Times New Roman" w:hAnsi="Verdana" w:cs="Times New Roman"/>
          <w:sz w:val="16"/>
          <w:szCs w:val="16"/>
          <w:lang w:eastAsia="es-AR"/>
        </w:rPr>
      </w:pPr>
      <w:r w:rsidRPr="00D21749">
        <w:rPr>
          <w:rFonts w:ascii="Verdana" w:eastAsia="Times New Roman" w:hAnsi="Verdana" w:cs="Times New Roman"/>
          <w:sz w:val="16"/>
          <w:szCs w:val="16"/>
          <w:lang w:eastAsia="es-AR"/>
        </w:rPr>
        <w:t>3. Padrón de Contribuyentes de Nuevos Emprendimientos.</w:t>
      </w:r>
    </w:p>
    <w:p w:rsidR="00D21749" w:rsidRPr="00D21749" w:rsidRDefault="00D21749" w:rsidP="00D21749">
      <w:pPr>
        <w:spacing w:before="80" w:after="70" w:line="240" w:lineRule="auto"/>
        <w:ind w:left="70" w:right="70" w:firstLine="70"/>
        <w:jc w:val="both"/>
        <w:rPr>
          <w:rFonts w:ascii="Verdana" w:eastAsia="Times New Roman" w:hAnsi="Verdana" w:cs="Times New Roman"/>
          <w:sz w:val="16"/>
          <w:szCs w:val="16"/>
          <w:lang w:eastAsia="es-AR"/>
        </w:rPr>
      </w:pPr>
      <w:r w:rsidRPr="00D21749">
        <w:rPr>
          <w:rFonts w:ascii="Verdana" w:eastAsia="Times New Roman" w:hAnsi="Verdana" w:cs="Times New Roman"/>
          <w:sz w:val="16"/>
          <w:szCs w:val="16"/>
          <w:lang w:eastAsia="es-AR"/>
        </w:rPr>
        <w:t xml:space="preserve">A los que se les establecerá: </w:t>
      </w:r>
    </w:p>
    <w:p w:rsidR="00D21749" w:rsidRPr="00D21749" w:rsidRDefault="00D21749" w:rsidP="00D21749">
      <w:pPr>
        <w:spacing w:before="80" w:after="70" w:line="240" w:lineRule="auto"/>
        <w:ind w:left="180" w:right="70"/>
        <w:jc w:val="both"/>
        <w:rPr>
          <w:rFonts w:ascii="Verdana" w:eastAsia="Times New Roman" w:hAnsi="Verdana" w:cs="Times New Roman"/>
          <w:sz w:val="16"/>
          <w:szCs w:val="16"/>
          <w:lang w:eastAsia="es-AR"/>
        </w:rPr>
      </w:pPr>
      <w:r w:rsidRPr="00D21749">
        <w:rPr>
          <w:rFonts w:ascii="Verdana" w:eastAsia="Times New Roman" w:hAnsi="Verdana" w:cs="Times New Roman"/>
          <w:sz w:val="16"/>
          <w:szCs w:val="16"/>
          <w:lang w:eastAsia="es-AR"/>
        </w:rPr>
        <w:t>1. Alícuotas morigeradas del 0% (cero por ciento).</w:t>
      </w:r>
    </w:p>
    <w:p w:rsidR="00D21749" w:rsidRPr="00D21749" w:rsidRDefault="00D21749" w:rsidP="00D21749">
      <w:pPr>
        <w:spacing w:before="80" w:after="70" w:line="240" w:lineRule="auto"/>
        <w:ind w:left="180" w:right="70"/>
        <w:jc w:val="both"/>
        <w:rPr>
          <w:rFonts w:ascii="Verdana" w:eastAsia="Times New Roman" w:hAnsi="Verdana" w:cs="Times New Roman"/>
          <w:sz w:val="16"/>
          <w:szCs w:val="16"/>
          <w:lang w:eastAsia="es-AR"/>
        </w:rPr>
      </w:pPr>
      <w:r w:rsidRPr="00D21749">
        <w:rPr>
          <w:rFonts w:ascii="Verdana" w:eastAsia="Times New Roman" w:hAnsi="Verdana" w:cs="Times New Roman"/>
          <w:sz w:val="16"/>
          <w:szCs w:val="16"/>
          <w:lang w:eastAsia="es-AR"/>
        </w:rPr>
        <w:t>2. Alícuotas morigeradas del 0,50% (cero con cincuenta por ciento).</w:t>
      </w:r>
    </w:p>
    <w:p w:rsidR="00D21749" w:rsidRPr="00D21749" w:rsidRDefault="00D21749" w:rsidP="00D21749">
      <w:pPr>
        <w:spacing w:before="80" w:after="70" w:line="240" w:lineRule="auto"/>
        <w:ind w:left="180" w:right="70"/>
        <w:jc w:val="both"/>
        <w:rPr>
          <w:rFonts w:ascii="Verdana" w:eastAsia="Times New Roman" w:hAnsi="Verdana" w:cs="Times New Roman"/>
          <w:sz w:val="16"/>
          <w:szCs w:val="16"/>
          <w:lang w:eastAsia="es-AR"/>
        </w:rPr>
      </w:pPr>
      <w:r w:rsidRPr="00D21749">
        <w:rPr>
          <w:rFonts w:ascii="Verdana" w:eastAsia="Times New Roman" w:hAnsi="Verdana" w:cs="Times New Roman"/>
          <w:sz w:val="16"/>
          <w:szCs w:val="16"/>
          <w:lang w:eastAsia="es-AR"/>
        </w:rPr>
        <w:t>3. Alícuotas morigeradas del 1,50% (uno con cincuenta por ciento).</w:t>
      </w:r>
    </w:p>
    <w:p w:rsidR="00D21749" w:rsidRPr="00D21749" w:rsidRDefault="00D21749" w:rsidP="00D21749">
      <w:pPr>
        <w:spacing w:before="120" w:after="70" w:line="240" w:lineRule="auto"/>
        <w:ind w:left="70" w:right="70"/>
        <w:jc w:val="both"/>
        <w:rPr>
          <w:rFonts w:ascii="Verdana" w:eastAsia="Times New Roman" w:hAnsi="Verdana" w:cs="Times New Roman"/>
          <w:sz w:val="16"/>
          <w:szCs w:val="16"/>
          <w:lang w:eastAsia="es-AR"/>
        </w:rPr>
      </w:pPr>
      <w:r w:rsidRPr="00D21749">
        <w:rPr>
          <w:rFonts w:ascii="Verdana" w:eastAsia="Times New Roman" w:hAnsi="Verdana" w:cs="Times New Roman"/>
          <w:b/>
          <w:bCs/>
          <w:sz w:val="16"/>
          <w:szCs w:val="16"/>
          <w:lang w:eastAsia="es-AR"/>
        </w:rPr>
        <w:t>b) Casos generales</w:t>
      </w:r>
    </w:p>
    <w:p w:rsidR="00D21749" w:rsidRPr="00D21749" w:rsidRDefault="00D21749" w:rsidP="00D21749">
      <w:pPr>
        <w:spacing w:before="80" w:after="70" w:line="240" w:lineRule="auto"/>
        <w:ind w:left="70" w:right="70" w:firstLine="70"/>
        <w:jc w:val="both"/>
        <w:rPr>
          <w:rFonts w:ascii="Verdana" w:eastAsia="Times New Roman" w:hAnsi="Verdana" w:cs="Times New Roman"/>
          <w:sz w:val="16"/>
          <w:szCs w:val="16"/>
          <w:lang w:eastAsia="es-AR"/>
        </w:rPr>
      </w:pPr>
      <w:r w:rsidRPr="00D21749">
        <w:rPr>
          <w:rFonts w:ascii="Verdana" w:eastAsia="Times New Roman" w:hAnsi="Verdana" w:cs="Times New Roman"/>
          <w:sz w:val="16"/>
          <w:szCs w:val="16"/>
          <w:lang w:eastAsia="es-AR"/>
        </w:rPr>
        <w:t xml:space="preserve">Asimismo, se prevé la posibilidad de que la Autoridad de Aplicación evalúe la aplicación de alícuotas diferenciales de retención y percepción a los contribuyentes que generen, de manera permanente, saldos a favor contra la Comuna. </w:t>
      </w:r>
    </w:p>
    <w:p w:rsidR="00D21749" w:rsidRPr="00D21749" w:rsidRDefault="00D21749" w:rsidP="00D21749">
      <w:pPr>
        <w:spacing w:before="80" w:after="70" w:line="240" w:lineRule="auto"/>
        <w:ind w:left="70" w:right="70" w:firstLine="70"/>
        <w:jc w:val="both"/>
        <w:rPr>
          <w:rFonts w:ascii="Verdana" w:eastAsia="Times New Roman" w:hAnsi="Verdana" w:cs="Times New Roman"/>
          <w:sz w:val="16"/>
          <w:szCs w:val="16"/>
          <w:lang w:eastAsia="es-AR"/>
        </w:rPr>
      </w:pPr>
      <w:r w:rsidRPr="00D21749">
        <w:rPr>
          <w:rFonts w:ascii="Verdana" w:eastAsia="Times New Roman" w:hAnsi="Verdana" w:cs="Times New Roman"/>
          <w:b/>
          <w:bCs/>
          <w:i/>
          <w:iCs/>
          <w:sz w:val="16"/>
          <w:szCs w:val="16"/>
          <w:lang w:eastAsia="es-AR"/>
        </w:rPr>
        <w:t>1. Mecanismos</w:t>
      </w:r>
    </w:p>
    <w:p w:rsidR="00D21749" w:rsidRPr="00D21749" w:rsidRDefault="00D21749" w:rsidP="00D21749">
      <w:pPr>
        <w:spacing w:before="80" w:after="70" w:line="240" w:lineRule="auto"/>
        <w:ind w:left="70" w:right="70" w:firstLine="70"/>
        <w:jc w:val="both"/>
        <w:rPr>
          <w:rFonts w:ascii="Verdana" w:eastAsia="Times New Roman" w:hAnsi="Verdana" w:cs="Times New Roman"/>
          <w:sz w:val="16"/>
          <w:szCs w:val="16"/>
          <w:lang w:eastAsia="es-AR"/>
        </w:rPr>
      </w:pPr>
      <w:r w:rsidRPr="00D21749">
        <w:rPr>
          <w:rFonts w:ascii="Verdana" w:eastAsia="Times New Roman" w:hAnsi="Verdana" w:cs="Times New Roman"/>
          <w:sz w:val="16"/>
          <w:szCs w:val="16"/>
          <w:lang w:eastAsia="es-AR"/>
        </w:rPr>
        <w:t>Los contribuyentes deberán efectuar una presentación (a través de la web de Rentas/Trámites online/Otros trámites/Atenuación alícuotas de retención-percepción), detallando la actividad principal y/o secundaria desarrollada y la incidencia de los regímenes de retención y/o percepción generadores del permanente saldo a favor.</w:t>
      </w:r>
    </w:p>
    <w:p w:rsidR="00D21749" w:rsidRPr="00D21749" w:rsidRDefault="00D21749" w:rsidP="00D21749">
      <w:pPr>
        <w:spacing w:before="80" w:after="70" w:line="240" w:lineRule="auto"/>
        <w:ind w:left="70" w:right="70" w:firstLine="70"/>
        <w:jc w:val="both"/>
        <w:rPr>
          <w:rFonts w:ascii="Verdana" w:eastAsia="Times New Roman" w:hAnsi="Verdana" w:cs="Times New Roman"/>
          <w:sz w:val="16"/>
          <w:szCs w:val="16"/>
          <w:lang w:eastAsia="es-AR"/>
        </w:rPr>
      </w:pPr>
      <w:r w:rsidRPr="00D21749">
        <w:rPr>
          <w:rFonts w:ascii="Verdana" w:eastAsia="Times New Roman" w:hAnsi="Verdana" w:cs="Times New Roman"/>
          <w:b/>
          <w:bCs/>
          <w:i/>
          <w:iCs/>
          <w:sz w:val="16"/>
          <w:szCs w:val="16"/>
          <w:lang w:eastAsia="es-AR"/>
        </w:rPr>
        <w:t>2. Requisitos</w:t>
      </w:r>
    </w:p>
    <w:p w:rsidR="00D21749" w:rsidRPr="00D21749" w:rsidRDefault="00D21749" w:rsidP="00D21749">
      <w:pPr>
        <w:spacing w:before="80" w:after="70" w:line="240" w:lineRule="auto"/>
        <w:ind w:left="180" w:right="70"/>
        <w:jc w:val="both"/>
        <w:rPr>
          <w:rFonts w:ascii="Verdana" w:eastAsia="Times New Roman" w:hAnsi="Verdana" w:cs="Times New Roman"/>
          <w:sz w:val="16"/>
          <w:szCs w:val="16"/>
          <w:lang w:eastAsia="es-AR"/>
        </w:rPr>
      </w:pPr>
      <w:r w:rsidRPr="00D21749">
        <w:rPr>
          <w:rFonts w:ascii="Verdana" w:eastAsia="Times New Roman" w:hAnsi="Verdana" w:cs="Times New Roman"/>
          <w:sz w:val="16"/>
          <w:szCs w:val="16"/>
          <w:lang w:eastAsia="es-AR"/>
        </w:rPr>
        <w:t>1. El saldo a favor generado -en los últimos 6 (seis) meses- debe ser igual o mayor a 2 (dos) veces el promedio del impuesto determinado, por los 6 (seis) anticipos declarados anteriores a la presentación.</w:t>
      </w:r>
    </w:p>
    <w:p w:rsidR="00D21749" w:rsidRPr="00D21749" w:rsidRDefault="00D21749" w:rsidP="00D21749">
      <w:pPr>
        <w:spacing w:before="80" w:after="70" w:line="240" w:lineRule="auto"/>
        <w:ind w:left="180" w:right="70"/>
        <w:jc w:val="both"/>
        <w:rPr>
          <w:rFonts w:ascii="Verdana" w:eastAsia="Times New Roman" w:hAnsi="Verdana" w:cs="Times New Roman"/>
          <w:sz w:val="16"/>
          <w:szCs w:val="16"/>
          <w:lang w:eastAsia="es-AR"/>
        </w:rPr>
      </w:pPr>
      <w:r w:rsidRPr="00D21749">
        <w:rPr>
          <w:rFonts w:ascii="Verdana" w:eastAsia="Times New Roman" w:hAnsi="Verdana" w:cs="Times New Roman"/>
          <w:sz w:val="16"/>
          <w:szCs w:val="16"/>
          <w:lang w:eastAsia="es-AR"/>
        </w:rPr>
        <w:t>2. Acreditar la existencia del saldo a favor, originado en las retenciones/percepciones efectuadas por los agentes de recaudación, fundamentando que el saldo no podrá ser consumido en los próximos 6 (seis) meses.</w:t>
      </w:r>
    </w:p>
    <w:p w:rsidR="00D21749" w:rsidRPr="00D21749" w:rsidRDefault="00D21749" w:rsidP="00D21749">
      <w:pPr>
        <w:spacing w:before="80" w:after="70" w:line="240" w:lineRule="auto"/>
        <w:ind w:left="180" w:right="70"/>
        <w:jc w:val="both"/>
        <w:rPr>
          <w:rFonts w:ascii="Verdana" w:eastAsia="Times New Roman" w:hAnsi="Verdana" w:cs="Times New Roman"/>
          <w:sz w:val="16"/>
          <w:szCs w:val="16"/>
          <w:lang w:eastAsia="es-AR"/>
        </w:rPr>
      </w:pPr>
      <w:r w:rsidRPr="00D21749">
        <w:rPr>
          <w:rFonts w:ascii="Verdana" w:eastAsia="Times New Roman" w:hAnsi="Verdana" w:cs="Times New Roman"/>
          <w:sz w:val="16"/>
          <w:szCs w:val="16"/>
          <w:lang w:eastAsia="es-AR"/>
        </w:rPr>
        <w:t>3. Los contribuyentes que tributen por Convenio Multilateral deben aportar los papeles de trabajo que dieron origen a la determinación del Coeficiente Unificado y la evolución del mismo de los últimos 5 (cinco) años.</w:t>
      </w:r>
    </w:p>
    <w:p w:rsidR="00D21749" w:rsidRPr="00D21749" w:rsidRDefault="00D21749" w:rsidP="00D21749">
      <w:pPr>
        <w:spacing w:before="80" w:after="70" w:line="240" w:lineRule="auto"/>
        <w:ind w:left="70" w:right="70" w:firstLine="70"/>
        <w:jc w:val="both"/>
        <w:rPr>
          <w:rFonts w:ascii="Verdana" w:eastAsia="Times New Roman" w:hAnsi="Verdana" w:cs="Times New Roman"/>
          <w:sz w:val="16"/>
          <w:szCs w:val="16"/>
          <w:lang w:eastAsia="es-AR"/>
        </w:rPr>
      </w:pPr>
      <w:r w:rsidRPr="00D21749">
        <w:rPr>
          <w:rFonts w:ascii="Verdana" w:eastAsia="Times New Roman" w:hAnsi="Verdana" w:cs="Times New Roman"/>
          <w:i/>
          <w:iCs/>
          <w:sz w:val="16"/>
          <w:szCs w:val="16"/>
          <w:lang w:eastAsia="es-AR"/>
        </w:rPr>
        <w:t>Incumplimiento</w:t>
      </w:r>
    </w:p>
    <w:p w:rsidR="00D21749" w:rsidRPr="00D21749" w:rsidRDefault="00D21749" w:rsidP="00D21749">
      <w:pPr>
        <w:spacing w:before="80" w:after="70" w:line="240" w:lineRule="auto"/>
        <w:ind w:left="70" w:right="70" w:firstLine="70"/>
        <w:jc w:val="both"/>
        <w:rPr>
          <w:rFonts w:ascii="Verdana" w:eastAsia="Times New Roman" w:hAnsi="Verdana" w:cs="Times New Roman"/>
          <w:sz w:val="16"/>
          <w:szCs w:val="16"/>
          <w:lang w:eastAsia="es-AR"/>
        </w:rPr>
      </w:pPr>
      <w:r w:rsidRPr="00D21749">
        <w:rPr>
          <w:rFonts w:ascii="Verdana" w:eastAsia="Times New Roman" w:hAnsi="Verdana" w:cs="Times New Roman"/>
          <w:sz w:val="16"/>
          <w:szCs w:val="16"/>
          <w:lang w:eastAsia="es-AR"/>
        </w:rPr>
        <w:t>Se prevé que el incumplimiento de alguno de los requisitos o requerimientos de esta Administración, dentro del plazo de 10 (diez) días hábiles, dará lugar a la baja automática del trámite, no pudiendo reformular el pedido dentro de los 60 (sesenta) días hábiles de la presentación anterior.</w:t>
      </w:r>
    </w:p>
    <w:p w:rsidR="00D21749" w:rsidRPr="00D21749" w:rsidRDefault="00D21749" w:rsidP="00D21749">
      <w:pPr>
        <w:pBdr>
          <w:bottom w:val="single" w:sz="8" w:space="0" w:color="000000"/>
        </w:pBdr>
        <w:spacing w:before="400" w:line="240" w:lineRule="auto"/>
        <w:ind w:left="70" w:right="70"/>
        <w:jc w:val="both"/>
        <w:rPr>
          <w:rFonts w:ascii="Verdana" w:eastAsia="Times New Roman" w:hAnsi="Verdana" w:cs="Times New Roman"/>
          <w:b/>
          <w:bCs/>
          <w:lang w:eastAsia="es-AR"/>
        </w:rPr>
      </w:pPr>
      <w:r w:rsidRPr="00D21749">
        <w:rPr>
          <w:rFonts w:ascii="Verdana" w:eastAsia="Times New Roman" w:hAnsi="Verdana" w:cs="Times New Roman"/>
          <w:b/>
          <w:bCs/>
          <w:lang w:eastAsia="es-AR"/>
        </w:rPr>
        <w:t>VI - INSPECCIÓN</w:t>
      </w:r>
    </w:p>
    <w:p w:rsidR="00D21749" w:rsidRPr="00D21749" w:rsidRDefault="00D21749" w:rsidP="00D21749">
      <w:pPr>
        <w:spacing w:before="80" w:after="70" w:line="240" w:lineRule="auto"/>
        <w:ind w:left="70" w:right="70" w:firstLine="70"/>
        <w:jc w:val="both"/>
        <w:rPr>
          <w:rFonts w:ascii="Verdana" w:eastAsia="Times New Roman" w:hAnsi="Verdana" w:cs="Times New Roman"/>
          <w:sz w:val="16"/>
          <w:szCs w:val="16"/>
          <w:lang w:eastAsia="es-AR"/>
        </w:rPr>
      </w:pPr>
      <w:r w:rsidRPr="00D21749">
        <w:rPr>
          <w:rFonts w:ascii="Verdana" w:eastAsia="Times New Roman" w:hAnsi="Verdana" w:cs="Times New Roman"/>
          <w:sz w:val="16"/>
          <w:szCs w:val="16"/>
          <w:lang w:eastAsia="es-AR"/>
        </w:rPr>
        <w:t>Se dispone que, aportada la información, la Dirección de Agentes de Recaudación e Información procederá a su evaluación, a los efectos de corroborar la situación fiscal denunciada.</w:t>
      </w:r>
    </w:p>
    <w:p w:rsidR="00D21749" w:rsidRPr="00D21749" w:rsidRDefault="00D21749" w:rsidP="00D21749">
      <w:pPr>
        <w:spacing w:before="80" w:after="70" w:line="240" w:lineRule="auto"/>
        <w:ind w:left="70" w:right="70" w:firstLine="70"/>
        <w:jc w:val="both"/>
        <w:rPr>
          <w:rFonts w:ascii="Verdana" w:eastAsia="Times New Roman" w:hAnsi="Verdana" w:cs="Times New Roman"/>
          <w:sz w:val="16"/>
          <w:szCs w:val="16"/>
          <w:lang w:eastAsia="es-AR"/>
        </w:rPr>
      </w:pPr>
      <w:r w:rsidRPr="00D21749">
        <w:rPr>
          <w:rFonts w:ascii="Verdana" w:eastAsia="Times New Roman" w:hAnsi="Verdana" w:cs="Times New Roman"/>
          <w:sz w:val="16"/>
          <w:szCs w:val="16"/>
          <w:lang w:eastAsia="es-AR"/>
        </w:rPr>
        <w:lastRenderedPageBreak/>
        <w:t xml:space="preserve">Asimismo, se prevé que las solicitudes de atenuación de alícuotas podrán ser remitidas a la Dirección de Análisis e Investigación dependiente de la Subdirección General de Grandes Contribuyentes y Evaluación Tributaria y a la Subdirección General de Fiscalización de la </w:t>
      </w:r>
      <w:proofErr w:type="spellStart"/>
      <w:r w:rsidRPr="00D21749">
        <w:rPr>
          <w:rFonts w:ascii="Verdana" w:eastAsia="Times New Roman" w:hAnsi="Verdana" w:cs="Times New Roman"/>
          <w:sz w:val="16"/>
          <w:szCs w:val="16"/>
          <w:lang w:eastAsia="es-AR"/>
        </w:rPr>
        <w:t>DGR</w:t>
      </w:r>
      <w:proofErr w:type="spellEnd"/>
      <w:r w:rsidRPr="00D21749">
        <w:rPr>
          <w:rFonts w:ascii="Verdana" w:eastAsia="Times New Roman" w:hAnsi="Verdana" w:cs="Times New Roman"/>
          <w:sz w:val="16"/>
          <w:szCs w:val="16"/>
          <w:lang w:eastAsia="es-AR"/>
        </w:rPr>
        <w:t>, para la generación del cargo de fiscalización respectivo, a los fines de verificar la situación fiscal del contribuyente con relación a la liquidación del impuesto y la procedencia de los saldos a favor invocados.</w:t>
      </w:r>
    </w:p>
    <w:p w:rsidR="00D21749" w:rsidRPr="00D21749" w:rsidRDefault="00D21749" w:rsidP="00D21749">
      <w:pPr>
        <w:pBdr>
          <w:bottom w:val="single" w:sz="8" w:space="0" w:color="000000"/>
        </w:pBdr>
        <w:spacing w:before="400" w:line="240" w:lineRule="auto"/>
        <w:ind w:left="70" w:right="70"/>
        <w:jc w:val="both"/>
        <w:rPr>
          <w:rFonts w:ascii="Verdana" w:eastAsia="Times New Roman" w:hAnsi="Verdana" w:cs="Times New Roman"/>
          <w:b/>
          <w:bCs/>
          <w:lang w:eastAsia="es-AR"/>
        </w:rPr>
      </w:pPr>
      <w:r w:rsidRPr="00D21749">
        <w:rPr>
          <w:rFonts w:ascii="Verdana" w:eastAsia="Times New Roman" w:hAnsi="Verdana" w:cs="Times New Roman"/>
          <w:b/>
          <w:bCs/>
          <w:lang w:eastAsia="es-AR"/>
        </w:rPr>
        <w:t>VII - RECONOCIMIENTO</w:t>
      </w:r>
    </w:p>
    <w:p w:rsidR="00D21749" w:rsidRPr="00D21749" w:rsidRDefault="00D21749" w:rsidP="00D21749">
      <w:pPr>
        <w:spacing w:before="80" w:after="70" w:line="240" w:lineRule="auto"/>
        <w:ind w:left="70" w:right="70" w:firstLine="70"/>
        <w:jc w:val="both"/>
        <w:rPr>
          <w:rFonts w:ascii="Verdana" w:eastAsia="Times New Roman" w:hAnsi="Verdana" w:cs="Times New Roman"/>
          <w:sz w:val="16"/>
          <w:szCs w:val="16"/>
          <w:lang w:eastAsia="es-AR"/>
        </w:rPr>
      </w:pPr>
      <w:r w:rsidRPr="00D21749">
        <w:rPr>
          <w:rFonts w:ascii="Verdana" w:eastAsia="Times New Roman" w:hAnsi="Verdana" w:cs="Times New Roman"/>
          <w:sz w:val="16"/>
          <w:szCs w:val="16"/>
          <w:lang w:eastAsia="es-AR"/>
        </w:rPr>
        <w:t xml:space="preserve">La procedencia de la solicitud implicará la reducción de todas las alícuotas aplicables de la totalidad de los regímenes de retención y/o percepción vigentes (excepto la del </w:t>
      </w:r>
      <w:proofErr w:type="spellStart"/>
      <w:r w:rsidRPr="00D21749">
        <w:rPr>
          <w:rFonts w:ascii="Verdana" w:eastAsia="Times New Roman" w:hAnsi="Verdana" w:cs="Times New Roman"/>
          <w:sz w:val="16"/>
          <w:szCs w:val="16"/>
          <w:lang w:eastAsia="es-AR"/>
        </w:rPr>
        <w:t>SIRPEI</w:t>
      </w:r>
      <w:proofErr w:type="spellEnd"/>
      <w:r w:rsidRPr="00D21749">
        <w:rPr>
          <w:rFonts w:ascii="Verdana" w:eastAsia="Times New Roman" w:hAnsi="Verdana" w:cs="Times New Roman"/>
          <w:sz w:val="16"/>
          <w:szCs w:val="16"/>
          <w:lang w:eastAsia="es-AR"/>
        </w:rPr>
        <w:t>).</w:t>
      </w:r>
    </w:p>
    <w:p w:rsidR="00D21749" w:rsidRPr="00D21749" w:rsidRDefault="00D21749" w:rsidP="00D21749">
      <w:pPr>
        <w:spacing w:before="120" w:after="70" w:line="240" w:lineRule="auto"/>
        <w:ind w:left="70" w:right="70"/>
        <w:jc w:val="both"/>
        <w:rPr>
          <w:rFonts w:ascii="Verdana" w:eastAsia="Times New Roman" w:hAnsi="Verdana" w:cs="Times New Roman"/>
          <w:sz w:val="16"/>
          <w:szCs w:val="16"/>
          <w:lang w:eastAsia="es-AR"/>
        </w:rPr>
      </w:pPr>
      <w:r w:rsidRPr="00D21749">
        <w:rPr>
          <w:rFonts w:ascii="Verdana" w:eastAsia="Times New Roman" w:hAnsi="Verdana" w:cs="Times New Roman"/>
          <w:sz w:val="16"/>
          <w:szCs w:val="16"/>
          <w:lang w:eastAsia="es-AR"/>
        </w:rPr>
        <w:t>Se incorpora al:</w:t>
      </w:r>
    </w:p>
    <w:p w:rsidR="00D21749" w:rsidRPr="00D21749" w:rsidRDefault="00D21749" w:rsidP="00D21749">
      <w:pPr>
        <w:spacing w:before="80" w:after="70" w:line="240" w:lineRule="auto"/>
        <w:ind w:left="180" w:right="70"/>
        <w:jc w:val="both"/>
        <w:rPr>
          <w:rFonts w:ascii="Verdana" w:eastAsia="Times New Roman" w:hAnsi="Verdana" w:cs="Times New Roman"/>
          <w:sz w:val="16"/>
          <w:szCs w:val="16"/>
          <w:lang w:eastAsia="es-AR"/>
        </w:rPr>
      </w:pPr>
      <w:r w:rsidRPr="00D21749">
        <w:rPr>
          <w:rFonts w:ascii="Verdana" w:eastAsia="Times New Roman" w:hAnsi="Verdana" w:cs="Times New Roman"/>
          <w:sz w:val="16"/>
          <w:szCs w:val="16"/>
          <w:lang w:eastAsia="es-AR"/>
        </w:rPr>
        <w:t>* Padrón de Contribuyentes con Alícuotas Diferenciales.</w:t>
      </w:r>
    </w:p>
    <w:p w:rsidR="00D21749" w:rsidRPr="00D21749" w:rsidRDefault="00D21749" w:rsidP="00D21749">
      <w:pPr>
        <w:spacing w:before="120" w:after="70" w:line="240" w:lineRule="auto"/>
        <w:ind w:left="70" w:right="70"/>
        <w:jc w:val="both"/>
        <w:rPr>
          <w:rFonts w:ascii="Verdana" w:eastAsia="Times New Roman" w:hAnsi="Verdana" w:cs="Times New Roman"/>
          <w:sz w:val="16"/>
          <w:szCs w:val="16"/>
          <w:lang w:eastAsia="es-AR"/>
        </w:rPr>
      </w:pPr>
      <w:r w:rsidRPr="00D21749">
        <w:rPr>
          <w:rFonts w:ascii="Verdana" w:eastAsia="Times New Roman" w:hAnsi="Verdana" w:cs="Times New Roman"/>
          <w:sz w:val="16"/>
          <w:szCs w:val="16"/>
          <w:lang w:eastAsia="es-AR"/>
        </w:rPr>
        <w:t xml:space="preserve">A los que se les establecerá: </w:t>
      </w:r>
    </w:p>
    <w:p w:rsidR="00D21749" w:rsidRPr="00D21749" w:rsidRDefault="00D21749" w:rsidP="00D21749">
      <w:pPr>
        <w:spacing w:before="80" w:after="70" w:line="240" w:lineRule="auto"/>
        <w:ind w:left="180" w:right="70"/>
        <w:jc w:val="both"/>
        <w:rPr>
          <w:rFonts w:ascii="Verdana" w:eastAsia="Times New Roman" w:hAnsi="Verdana" w:cs="Times New Roman"/>
          <w:sz w:val="16"/>
          <w:szCs w:val="16"/>
          <w:lang w:eastAsia="es-AR"/>
        </w:rPr>
      </w:pPr>
      <w:r w:rsidRPr="00D21749">
        <w:rPr>
          <w:rFonts w:ascii="Verdana" w:eastAsia="Times New Roman" w:hAnsi="Verdana" w:cs="Times New Roman"/>
          <w:sz w:val="16"/>
          <w:szCs w:val="16"/>
          <w:lang w:eastAsia="es-AR"/>
        </w:rPr>
        <w:t>* Alícuotas morigeradas.</w:t>
      </w:r>
    </w:p>
    <w:p w:rsidR="00D21749" w:rsidRPr="00D21749" w:rsidRDefault="00D21749" w:rsidP="00D21749">
      <w:pPr>
        <w:spacing w:before="120" w:after="70" w:line="240" w:lineRule="auto"/>
        <w:ind w:left="70" w:right="70"/>
        <w:jc w:val="both"/>
        <w:rPr>
          <w:rFonts w:ascii="Verdana" w:eastAsia="Times New Roman" w:hAnsi="Verdana" w:cs="Times New Roman"/>
          <w:sz w:val="16"/>
          <w:szCs w:val="16"/>
          <w:lang w:eastAsia="es-AR"/>
        </w:rPr>
      </w:pPr>
      <w:r w:rsidRPr="00D21749">
        <w:rPr>
          <w:rFonts w:ascii="Verdana" w:eastAsia="Times New Roman" w:hAnsi="Verdana" w:cs="Times New Roman"/>
          <w:b/>
          <w:bCs/>
          <w:sz w:val="16"/>
          <w:szCs w:val="16"/>
          <w:lang w:eastAsia="es-AR"/>
        </w:rPr>
        <w:t>Nota</w:t>
      </w:r>
    </w:p>
    <w:p w:rsidR="00D21749" w:rsidRPr="00D21749" w:rsidRDefault="00D21749" w:rsidP="00D21749">
      <w:pPr>
        <w:spacing w:before="80" w:after="70" w:line="240" w:lineRule="auto"/>
        <w:ind w:left="70" w:right="70" w:firstLine="70"/>
        <w:jc w:val="both"/>
        <w:rPr>
          <w:rFonts w:ascii="Verdana" w:eastAsia="Times New Roman" w:hAnsi="Verdana" w:cs="Times New Roman"/>
          <w:sz w:val="16"/>
          <w:szCs w:val="16"/>
          <w:lang w:eastAsia="es-AR"/>
        </w:rPr>
      </w:pPr>
      <w:r w:rsidRPr="00D21749">
        <w:rPr>
          <w:rFonts w:ascii="Verdana" w:eastAsia="Times New Roman" w:hAnsi="Verdana" w:cs="Times New Roman"/>
          <w:sz w:val="16"/>
          <w:szCs w:val="16"/>
          <w:lang w:eastAsia="es-AR"/>
        </w:rPr>
        <w:t xml:space="preserve">Al respecto no se establece, </w:t>
      </w:r>
      <w:r w:rsidRPr="00D21749">
        <w:rPr>
          <w:rFonts w:ascii="Verdana" w:eastAsia="Times New Roman" w:hAnsi="Verdana" w:cs="Times New Roman"/>
          <w:i/>
          <w:iCs/>
          <w:sz w:val="16"/>
          <w:szCs w:val="16"/>
          <w:lang w:eastAsia="es-AR"/>
        </w:rPr>
        <w:t>a priori</w:t>
      </w:r>
      <w:r w:rsidRPr="00D21749">
        <w:rPr>
          <w:rFonts w:ascii="Verdana" w:eastAsia="Times New Roman" w:hAnsi="Verdana" w:cs="Times New Roman"/>
          <w:sz w:val="16"/>
          <w:szCs w:val="16"/>
          <w:lang w:eastAsia="es-AR"/>
        </w:rPr>
        <w:t xml:space="preserve">, a qué alícuota serán incorporados en el Padrón de Contribuyentes. Entendemos que la adecuación resultará -según el caso- </w:t>
      </w:r>
      <w:r w:rsidRPr="00D21749">
        <w:rPr>
          <w:rFonts w:ascii="Verdana" w:eastAsia="Times New Roman" w:hAnsi="Verdana" w:cs="Times New Roman"/>
          <w:i/>
          <w:iCs/>
          <w:sz w:val="16"/>
          <w:szCs w:val="16"/>
          <w:lang w:eastAsia="es-AR"/>
        </w:rPr>
        <w:t>tal que,</w:t>
      </w:r>
      <w:r w:rsidRPr="00D21749">
        <w:rPr>
          <w:rFonts w:ascii="Verdana" w:eastAsia="Times New Roman" w:hAnsi="Verdana" w:cs="Times New Roman"/>
          <w:sz w:val="16"/>
          <w:szCs w:val="16"/>
          <w:lang w:eastAsia="es-AR"/>
        </w:rPr>
        <w:t xml:space="preserve"> durante los próximos seis meses, se llegue a la adecuación </w:t>
      </w:r>
      <w:r w:rsidRPr="00D21749">
        <w:rPr>
          <w:rFonts w:ascii="Verdana" w:eastAsia="Times New Roman" w:hAnsi="Verdana" w:cs="Times New Roman"/>
          <w:i/>
          <w:iCs/>
          <w:sz w:val="16"/>
          <w:szCs w:val="16"/>
          <w:lang w:eastAsia="es-AR"/>
        </w:rPr>
        <w:t>tal que</w:t>
      </w:r>
      <w:r w:rsidRPr="00D21749">
        <w:rPr>
          <w:rFonts w:ascii="Verdana" w:eastAsia="Times New Roman" w:hAnsi="Verdana" w:cs="Times New Roman"/>
          <w:sz w:val="16"/>
          <w:szCs w:val="16"/>
          <w:lang w:eastAsia="es-AR"/>
        </w:rPr>
        <w:t xml:space="preserve"> las recaudaciones futuras equivalgan al impuesto determinado en los anticipos del semestre.</w:t>
      </w:r>
    </w:p>
    <w:p w:rsidR="00D21749" w:rsidRPr="00D21749" w:rsidRDefault="00D21749" w:rsidP="00D21749">
      <w:pPr>
        <w:spacing w:before="120" w:after="70" w:line="240" w:lineRule="auto"/>
        <w:ind w:left="70" w:right="70"/>
        <w:jc w:val="both"/>
        <w:rPr>
          <w:rFonts w:ascii="Verdana" w:eastAsia="Times New Roman" w:hAnsi="Verdana" w:cs="Times New Roman"/>
          <w:sz w:val="16"/>
          <w:szCs w:val="16"/>
          <w:lang w:eastAsia="es-AR"/>
        </w:rPr>
      </w:pPr>
      <w:r w:rsidRPr="00D21749">
        <w:rPr>
          <w:rFonts w:ascii="Verdana" w:eastAsia="Times New Roman" w:hAnsi="Verdana" w:cs="Times New Roman"/>
          <w:b/>
          <w:bCs/>
          <w:sz w:val="16"/>
          <w:szCs w:val="16"/>
          <w:lang w:eastAsia="es-AR"/>
        </w:rPr>
        <w:t>Vigencia del reconocimiento</w:t>
      </w:r>
    </w:p>
    <w:p w:rsidR="00D21749" w:rsidRPr="00D21749" w:rsidRDefault="00D21749" w:rsidP="00D21749">
      <w:pPr>
        <w:spacing w:before="80" w:after="70" w:line="240" w:lineRule="auto"/>
        <w:ind w:left="70" w:right="70" w:firstLine="70"/>
        <w:jc w:val="both"/>
        <w:rPr>
          <w:rFonts w:ascii="Verdana" w:eastAsia="Times New Roman" w:hAnsi="Verdana" w:cs="Times New Roman"/>
          <w:sz w:val="16"/>
          <w:szCs w:val="16"/>
          <w:lang w:eastAsia="es-AR"/>
        </w:rPr>
      </w:pPr>
      <w:r w:rsidRPr="00D21749">
        <w:rPr>
          <w:rFonts w:ascii="Verdana" w:eastAsia="Times New Roman" w:hAnsi="Verdana" w:cs="Times New Roman"/>
          <w:sz w:val="16"/>
          <w:szCs w:val="16"/>
          <w:lang w:eastAsia="es-AR"/>
        </w:rPr>
        <w:t xml:space="preserve">Se prevé que la atenuación de alícuotas se extenderá por un plazo máximo de 6 (seis) meses, o 2 (dos) trimestres calendarios, siempre que se mantenga la situación fiscal que da lugar a la aplicación del reconocimiento. Asimismo, se dispone: </w:t>
      </w:r>
      <w:r w:rsidRPr="00D21749">
        <w:rPr>
          <w:rFonts w:ascii="Verdana" w:eastAsia="Times New Roman" w:hAnsi="Verdana" w:cs="Times New Roman"/>
          <w:i/>
          <w:iCs/>
          <w:sz w:val="16"/>
          <w:szCs w:val="16"/>
          <w:lang w:eastAsia="es-AR"/>
        </w:rPr>
        <w:t>si transcurrido el período antes indicado persistiera la circunstancia que diera origen a la solicitud, el contribuyente podrá requerir una extensión del plazo</w:t>
      </w:r>
      <w:r w:rsidRPr="00D21749">
        <w:rPr>
          <w:rFonts w:ascii="Verdana" w:eastAsia="Times New Roman" w:hAnsi="Verdana" w:cs="Times New Roman"/>
          <w:sz w:val="16"/>
          <w:szCs w:val="16"/>
          <w:lang w:eastAsia="es-AR"/>
        </w:rPr>
        <w:t>.</w:t>
      </w:r>
    </w:p>
    <w:p w:rsidR="00D21749" w:rsidRPr="00D21749" w:rsidRDefault="00D21749" w:rsidP="00D21749">
      <w:pPr>
        <w:spacing w:before="120" w:after="70" w:line="240" w:lineRule="auto"/>
        <w:ind w:left="70" w:right="70"/>
        <w:jc w:val="both"/>
        <w:rPr>
          <w:rFonts w:ascii="Verdana" w:eastAsia="Times New Roman" w:hAnsi="Verdana" w:cs="Times New Roman"/>
          <w:sz w:val="16"/>
          <w:szCs w:val="16"/>
          <w:lang w:eastAsia="es-AR"/>
        </w:rPr>
      </w:pPr>
      <w:r w:rsidRPr="00D21749">
        <w:rPr>
          <w:rFonts w:ascii="Verdana" w:eastAsia="Times New Roman" w:hAnsi="Verdana" w:cs="Times New Roman"/>
          <w:b/>
          <w:bCs/>
          <w:sz w:val="16"/>
          <w:szCs w:val="16"/>
          <w:lang w:eastAsia="es-AR"/>
        </w:rPr>
        <w:t>Padrones de contribuyentes. Actualización</w:t>
      </w:r>
    </w:p>
    <w:p w:rsidR="00D21749" w:rsidRPr="00D21749" w:rsidRDefault="00D21749" w:rsidP="00D21749">
      <w:pPr>
        <w:spacing w:before="80" w:after="70" w:line="240" w:lineRule="auto"/>
        <w:ind w:left="70" w:right="70" w:firstLine="70"/>
        <w:jc w:val="both"/>
        <w:rPr>
          <w:rFonts w:ascii="Verdana" w:eastAsia="Times New Roman" w:hAnsi="Verdana" w:cs="Times New Roman"/>
          <w:sz w:val="16"/>
          <w:szCs w:val="16"/>
          <w:lang w:eastAsia="es-AR"/>
        </w:rPr>
      </w:pPr>
      <w:r w:rsidRPr="00D21749">
        <w:rPr>
          <w:rFonts w:ascii="Verdana" w:eastAsia="Times New Roman" w:hAnsi="Verdana" w:cs="Times New Roman"/>
          <w:sz w:val="16"/>
          <w:szCs w:val="16"/>
          <w:lang w:eastAsia="es-AR"/>
        </w:rPr>
        <w:t>Se establece que la nómina de contribuyentes reconocidos con alícuotas menores a las previstas por los regímenes de recaudación será actualizada por trimestre calendario y estará a disposición de los contribuyentes y agentes de recaudación en la página web de la Administración Gubernamental de Ingresos Públicos (</w:t>
      </w:r>
      <w:proofErr w:type="spellStart"/>
      <w:r w:rsidRPr="00D21749">
        <w:rPr>
          <w:rFonts w:ascii="Verdana" w:eastAsia="Times New Roman" w:hAnsi="Verdana" w:cs="Times New Roman"/>
          <w:sz w:val="16"/>
          <w:szCs w:val="16"/>
          <w:lang w:eastAsia="es-AR"/>
        </w:rPr>
        <w:t>AGIP</w:t>
      </w:r>
      <w:proofErr w:type="spellEnd"/>
      <w:r w:rsidRPr="00D21749">
        <w:rPr>
          <w:rFonts w:ascii="Verdana" w:eastAsia="Times New Roman" w:hAnsi="Verdana" w:cs="Times New Roman"/>
          <w:sz w:val="16"/>
          <w:szCs w:val="16"/>
          <w:lang w:eastAsia="es-AR"/>
        </w:rPr>
        <w:t xml:space="preserve">), </w:t>
      </w:r>
      <w:hyperlink r:id="rId7" w:tgtFrame="_blank" w:history="1">
        <w:r w:rsidRPr="00D21749">
          <w:rPr>
            <w:rFonts w:ascii="Verdana" w:eastAsia="Times New Roman" w:hAnsi="Verdana" w:cs="Times New Roman"/>
            <w:color w:val="0000FF"/>
            <w:sz w:val="16"/>
            <w:szCs w:val="16"/>
            <w:u w:val="single"/>
            <w:lang w:eastAsia="es-AR"/>
          </w:rPr>
          <w:t>www.agip.gob.ar</w:t>
        </w:r>
      </w:hyperlink>
      <w:r w:rsidRPr="00D21749">
        <w:rPr>
          <w:rFonts w:ascii="Verdana" w:eastAsia="Times New Roman" w:hAnsi="Verdana" w:cs="Times New Roman"/>
          <w:sz w:val="16"/>
          <w:szCs w:val="16"/>
          <w:lang w:eastAsia="es-AR"/>
        </w:rPr>
        <w:t>, con una antelación de 3 (tres) días hábiles a su vigencia, que será de aplicación solo en aquellas solicitudes que hubieran sido aceptadas, debiendo los contribuyentes o responsables aguardar hasta la finalización del mismo para cualquier modificación del padrón en cuestión.</w:t>
      </w:r>
    </w:p>
    <w:p w:rsidR="00D21749" w:rsidRPr="00D21749" w:rsidRDefault="00D21749" w:rsidP="00D21749">
      <w:pPr>
        <w:pBdr>
          <w:bottom w:val="single" w:sz="8" w:space="0" w:color="000000"/>
        </w:pBdr>
        <w:spacing w:before="400" w:line="240" w:lineRule="auto"/>
        <w:ind w:left="70" w:right="70"/>
        <w:jc w:val="both"/>
        <w:rPr>
          <w:rFonts w:ascii="Verdana" w:eastAsia="Times New Roman" w:hAnsi="Verdana" w:cs="Times New Roman"/>
          <w:b/>
          <w:bCs/>
          <w:lang w:eastAsia="es-AR"/>
        </w:rPr>
      </w:pPr>
      <w:r w:rsidRPr="00D21749">
        <w:rPr>
          <w:rFonts w:ascii="Verdana" w:eastAsia="Times New Roman" w:hAnsi="Verdana" w:cs="Times New Roman"/>
          <w:b/>
          <w:bCs/>
          <w:lang w:eastAsia="es-AR"/>
        </w:rPr>
        <w:t>VIII - RIESGO FISCAL</w:t>
      </w:r>
    </w:p>
    <w:p w:rsidR="00D21749" w:rsidRPr="00D21749" w:rsidRDefault="00D21749" w:rsidP="00D21749">
      <w:pPr>
        <w:spacing w:before="80" w:after="70" w:line="240" w:lineRule="auto"/>
        <w:ind w:left="70" w:right="70" w:firstLine="70"/>
        <w:jc w:val="both"/>
        <w:rPr>
          <w:rFonts w:ascii="Verdana" w:eastAsia="Times New Roman" w:hAnsi="Verdana" w:cs="Times New Roman"/>
          <w:sz w:val="16"/>
          <w:szCs w:val="16"/>
          <w:lang w:eastAsia="es-AR"/>
        </w:rPr>
      </w:pPr>
      <w:r w:rsidRPr="00D21749">
        <w:rPr>
          <w:rFonts w:ascii="Verdana" w:eastAsia="Times New Roman" w:hAnsi="Verdana" w:cs="Times New Roman"/>
          <w:sz w:val="16"/>
          <w:szCs w:val="16"/>
          <w:lang w:eastAsia="es-AR"/>
        </w:rPr>
        <w:t xml:space="preserve">Al no limitarse el reconocimiento </w:t>
      </w:r>
      <w:proofErr w:type="gramStart"/>
      <w:r w:rsidRPr="00D21749">
        <w:rPr>
          <w:rFonts w:ascii="Verdana" w:eastAsia="Times New Roman" w:hAnsi="Verdana" w:cs="Times New Roman"/>
          <w:sz w:val="16"/>
          <w:szCs w:val="16"/>
          <w:lang w:eastAsia="es-AR"/>
        </w:rPr>
        <w:t>a los contribuyentes comprendido</w:t>
      </w:r>
      <w:proofErr w:type="gramEnd"/>
      <w:r w:rsidRPr="00D21749">
        <w:rPr>
          <w:rFonts w:ascii="Verdana" w:eastAsia="Times New Roman" w:hAnsi="Verdana" w:cs="Times New Roman"/>
          <w:sz w:val="16"/>
          <w:szCs w:val="16"/>
          <w:lang w:eastAsia="es-AR"/>
        </w:rPr>
        <w:t xml:space="preserve"> en el Padrón de Riesgo Fiscal, se prevé que, ante la inclusión simultánea del contribuyente retenido/percibido en el Padrón de Riesgo Fiscal y en el Padrón de Contribuyentes Exentos, de Actividades Promovidas, de Nuevos Emprendimientos y con Alícuotas Diferenciales, tendrá preeminencia la alícuota que establezca este último. Si las causales de riesgo fiscal persisten una vez finalizado el trimestre, se procederá a su exclusión del Padrón de Alícuotas Diferenciales, hasta tanto regularice la situación que diera origen a su inclusión en el Padrón de Riesgo Fiscal.</w:t>
      </w:r>
    </w:p>
    <w:p w:rsidR="00D21749" w:rsidRPr="00D21749" w:rsidRDefault="00D21749" w:rsidP="00D21749">
      <w:pPr>
        <w:spacing w:before="80" w:after="70" w:line="240" w:lineRule="auto"/>
        <w:ind w:left="70" w:right="70" w:firstLine="70"/>
        <w:jc w:val="both"/>
        <w:rPr>
          <w:rFonts w:ascii="Verdana" w:eastAsia="Times New Roman" w:hAnsi="Verdana" w:cs="Times New Roman"/>
          <w:sz w:val="16"/>
          <w:szCs w:val="16"/>
          <w:lang w:eastAsia="es-AR"/>
        </w:rPr>
      </w:pPr>
      <w:r w:rsidRPr="00D21749">
        <w:rPr>
          <w:rFonts w:ascii="Verdana" w:eastAsia="Times New Roman" w:hAnsi="Verdana" w:cs="Times New Roman"/>
          <w:sz w:val="16"/>
          <w:szCs w:val="16"/>
          <w:lang w:eastAsia="es-AR"/>
        </w:rPr>
        <w:t>Por lo tanto, si se quiere mantener el reconocimiento, se deben conocer y cumplir las omisiones por las cuales el contribuyente resulta comprendido en el Padrón de Riesgo Fiscal de la Ciudad de Buenos Aires.</w:t>
      </w:r>
    </w:p>
    <w:p w:rsidR="00D21749" w:rsidRPr="00D21749" w:rsidRDefault="00D21749" w:rsidP="00D21749">
      <w:pPr>
        <w:pBdr>
          <w:bottom w:val="single" w:sz="8" w:space="0" w:color="000000"/>
        </w:pBdr>
        <w:spacing w:before="400" w:line="240" w:lineRule="auto"/>
        <w:ind w:left="70" w:right="70"/>
        <w:jc w:val="both"/>
        <w:rPr>
          <w:rFonts w:ascii="Verdana" w:eastAsia="Times New Roman" w:hAnsi="Verdana" w:cs="Times New Roman"/>
          <w:b/>
          <w:bCs/>
          <w:lang w:eastAsia="es-AR"/>
        </w:rPr>
      </w:pPr>
      <w:r w:rsidRPr="00D21749">
        <w:rPr>
          <w:rFonts w:ascii="Verdana" w:eastAsia="Times New Roman" w:hAnsi="Verdana" w:cs="Times New Roman"/>
          <w:b/>
          <w:bCs/>
          <w:lang w:eastAsia="es-AR"/>
        </w:rPr>
        <w:t>IX - AGENTES DE RECAUDACIÓN POR LA CIUDAD DE BUENOS AIRES</w:t>
      </w:r>
    </w:p>
    <w:p w:rsidR="00D21749" w:rsidRPr="00D21749" w:rsidRDefault="00D21749" w:rsidP="00D21749">
      <w:pPr>
        <w:spacing w:before="80" w:after="70" w:line="240" w:lineRule="auto"/>
        <w:ind w:left="70" w:right="70" w:firstLine="70"/>
        <w:jc w:val="both"/>
        <w:rPr>
          <w:rFonts w:ascii="Verdana" w:eastAsia="Times New Roman" w:hAnsi="Verdana" w:cs="Times New Roman"/>
          <w:sz w:val="16"/>
          <w:szCs w:val="16"/>
          <w:lang w:eastAsia="es-AR"/>
        </w:rPr>
      </w:pPr>
      <w:r w:rsidRPr="00D21749">
        <w:rPr>
          <w:rFonts w:ascii="Verdana" w:eastAsia="Times New Roman" w:hAnsi="Verdana" w:cs="Times New Roman"/>
          <w:sz w:val="16"/>
          <w:szCs w:val="16"/>
          <w:lang w:eastAsia="es-AR"/>
        </w:rPr>
        <w:t>Se aprueba el diseño de registro “Padrón de Contribuyentes Exentos, de Actividades Promovidas, de Nuevos Emprendimientos y con Alícuotas Diferenciales”, que se deberá incorporar al sistema de facturación y pago para la correcta determinación de las recaudaciones a realizar por orden de la Ciudad de Buenos Aires.</w:t>
      </w:r>
    </w:p>
    <w:p w:rsidR="00D21749" w:rsidRPr="00D21749" w:rsidRDefault="00D21749" w:rsidP="00D21749">
      <w:pPr>
        <w:spacing w:before="120" w:after="70" w:line="240" w:lineRule="auto"/>
        <w:ind w:left="70" w:right="70"/>
        <w:jc w:val="both"/>
        <w:rPr>
          <w:rFonts w:ascii="Verdana" w:eastAsia="Times New Roman" w:hAnsi="Verdana" w:cs="Times New Roman"/>
          <w:sz w:val="16"/>
          <w:szCs w:val="16"/>
          <w:lang w:eastAsia="es-AR"/>
        </w:rPr>
      </w:pPr>
      <w:r w:rsidRPr="00D21749">
        <w:rPr>
          <w:rFonts w:ascii="Verdana" w:eastAsia="Times New Roman" w:hAnsi="Verdana" w:cs="Times New Roman"/>
          <w:b/>
          <w:bCs/>
          <w:sz w:val="16"/>
          <w:szCs w:val="16"/>
          <w:lang w:eastAsia="es-AR"/>
        </w:rPr>
        <w:t>Normas reglamentarias</w:t>
      </w:r>
    </w:p>
    <w:p w:rsidR="00D21749" w:rsidRPr="00D21749" w:rsidRDefault="00D21749" w:rsidP="00D21749">
      <w:pPr>
        <w:spacing w:before="80" w:after="70" w:line="240" w:lineRule="auto"/>
        <w:ind w:left="70" w:right="70" w:firstLine="70"/>
        <w:jc w:val="both"/>
        <w:rPr>
          <w:rFonts w:ascii="Verdana" w:eastAsia="Times New Roman" w:hAnsi="Verdana" w:cs="Times New Roman"/>
          <w:sz w:val="16"/>
          <w:szCs w:val="16"/>
          <w:lang w:eastAsia="es-AR"/>
        </w:rPr>
      </w:pPr>
      <w:r w:rsidRPr="00D21749">
        <w:rPr>
          <w:rFonts w:ascii="Verdana" w:eastAsia="Times New Roman" w:hAnsi="Verdana" w:cs="Times New Roman"/>
          <w:sz w:val="16"/>
          <w:szCs w:val="16"/>
          <w:lang w:eastAsia="es-AR"/>
        </w:rPr>
        <w:t xml:space="preserve">La </w:t>
      </w:r>
      <w:proofErr w:type="spellStart"/>
      <w:r w:rsidRPr="00D21749">
        <w:rPr>
          <w:rFonts w:ascii="Verdana" w:eastAsia="Times New Roman" w:hAnsi="Verdana" w:cs="Times New Roman"/>
          <w:sz w:val="16"/>
          <w:szCs w:val="16"/>
          <w:lang w:eastAsia="es-AR"/>
        </w:rPr>
        <w:t>AGIP</w:t>
      </w:r>
      <w:proofErr w:type="spellEnd"/>
      <w:r w:rsidRPr="00D21749">
        <w:rPr>
          <w:rFonts w:ascii="Verdana" w:eastAsia="Times New Roman" w:hAnsi="Verdana" w:cs="Times New Roman"/>
          <w:sz w:val="16"/>
          <w:szCs w:val="16"/>
          <w:lang w:eastAsia="es-AR"/>
        </w:rPr>
        <w:t xml:space="preserve"> a la </w:t>
      </w:r>
      <w:proofErr w:type="spellStart"/>
      <w:r w:rsidRPr="00D21749">
        <w:rPr>
          <w:rFonts w:ascii="Verdana" w:eastAsia="Times New Roman" w:hAnsi="Verdana" w:cs="Times New Roman"/>
          <w:sz w:val="16"/>
          <w:szCs w:val="16"/>
          <w:lang w:eastAsia="es-AR"/>
        </w:rPr>
        <w:t>DGR</w:t>
      </w:r>
      <w:proofErr w:type="spellEnd"/>
      <w:r w:rsidRPr="00D21749">
        <w:rPr>
          <w:rFonts w:ascii="Verdana" w:eastAsia="Times New Roman" w:hAnsi="Verdana" w:cs="Times New Roman"/>
          <w:sz w:val="16"/>
          <w:szCs w:val="16"/>
          <w:lang w:eastAsia="es-AR"/>
        </w:rPr>
        <w:t>:</w:t>
      </w:r>
    </w:p>
    <w:p w:rsidR="00D21749" w:rsidRPr="00D21749" w:rsidRDefault="00D21749" w:rsidP="00D21749">
      <w:pPr>
        <w:spacing w:before="80" w:after="70" w:line="240" w:lineRule="auto"/>
        <w:ind w:left="180" w:right="70"/>
        <w:jc w:val="both"/>
        <w:rPr>
          <w:rFonts w:ascii="Verdana" w:eastAsia="Times New Roman" w:hAnsi="Verdana" w:cs="Times New Roman"/>
          <w:sz w:val="16"/>
          <w:szCs w:val="16"/>
          <w:lang w:eastAsia="es-AR"/>
        </w:rPr>
      </w:pPr>
      <w:r w:rsidRPr="00D21749">
        <w:rPr>
          <w:rFonts w:ascii="Verdana" w:eastAsia="Times New Roman" w:hAnsi="Verdana" w:cs="Times New Roman"/>
          <w:sz w:val="16"/>
          <w:szCs w:val="16"/>
          <w:lang w:eastAsia="es-AR"/>
        </w:rPr>
        <w:t>1. Dictar las normas de carácter operativas y complementarias que resulten necesarias.</w:t>
      </w:r>
    </w:p>
    <w:p w:rsidR="00D21749" w:rsidRPr="00D21749" w:rsidRDefault="00D21749" w:rsidP="00D21749">
      <w:pPr>
        <w:spacing w:before="80" w:after="70" w:line="240" w:lineRule="auto"/>
        <w:ind w:left="180" w:right="70"/>
        <w:jc w:val="both"/>
        <w:rPr>
          <w:rFonts w:ascii="Verdana" w:eastAsia="Times New Roman" w:hAnsi="Verdana" w:cs="Times New Roman"/>
          <w:sz w:val="16"/>
          <w:szCs w:val="16"/>
          <w:lang w:eastAsia="es-AR"/>
        </w:rPr>
      </w:pPr>
      <w:r w:rsidRPr="00D21749">
        <w:rPr>
          <w:rFonts w:ascii="Verdana" w:eastAsia="Times New Roman" w:hAnsi="Verdana" w:cs="Times New Roman"/>
          <w:sz w:val="16"/>
          <w:szCs w:val="16"/>
          <w:lang w:eastAsia="es-AR"/>
        </w:rPr>
        <w:t>2. Resolver situaciones de hecho que se planteen con respecto a la presente resolución.</w:t>
      </w:r>
    </w:p>
    <w:p w:rsidR="00D21749" w:rsidRPr="00D21749" w:rsidRDefault="00D21749" w:rsidP="00D21749">
      <w:pPr>
        <w:spacing w:before="80" w:after="70" w:line="240" w:lineRule="auto"/>
        <w:ind w:left="70" w:right="70" w:firstLine="70"/>
        <w:jc w:val="both"/>
        <w:rPr>
          <w:rFonts w:ascii="Verdana" w:eastAsia="Times New Roman" w:hAnsi="Verdana" w:cs="Times New Roman"/>
          <w:sz w:val="16"/>
          <w:szCs w:val="16"/>
          <w:lang w:eastAsia="es-AR"/>
        </w:rPr>
      </w:pPr>
      <w:r w:rsidRPr="00D21749">
        <w:rPr>
          <w:rFonts w:ascii="Verdana" w:eastAsia="Times New Roman" w:hAnsi="Verdana" w:cs="Times New Roman"/>
          <w:sz w:val="16"/>
          <w:szCs w:val="16"/>
          <w:lang w:eastAsia="es-AR"/>
        </w:rPr>
        <w:lastRenderedPageBreak/>
        <w:t xml:space="preserve">Se advierten, </w:t>
      </w:r>
      <w:r w:rsidRPr="00D21749">
        <w:rPr>
          <w:rFonts w:ascii="Verdana" w:eastAsia="Times New Roman" w:hAnsi="Verdana" w:cs="Times New Roman"/>
          <w:i/>
          <w:iCs/>
          <w:sz w:val="16"/>
          <w:szCs w:val="16"/>
          <w:lang w:eastAsia="es-AR"/>
        </w:rPr>
        <w:t>a priori</w:t>
      </w:r>
      <w:r w:rsidRPr="00D21749">
        <w:rPr>
          <w:rFonts w:ascii="Verdana" w:eastAsia="Times New Roman" w:hAnsi="Verdana" w:cs="Times New Roman"/>
          <w:sz w:val="16"/>
          <w:szCs w:val="16"/>
          <w:lang w:eastAsia="es-AR"/>
        </w:rPr>
        <w:t>, innumerables planteos de parte de los contribuyentes, lo que, sin lugar a dudas, al no estar contemplado en la legislación, el contribuyente tendrá que accionar contra la Dirección en procura del tratamiento diferencial. Ello es producto de las evidentes limitaciones del reconocimiento de atenuación de alícuotas, frente a los innumerables contribuyentes de saldos a favor contra la Ciudad Autónoma de Buenos Aires.</w:t>
      </w:r>
    </w:p>
    <w:p w:rsidR="00D21749" w:rsidRPr="00D21749" w:rsidRDefault="00D21749" w:rsidP="00D21749">
      <w:pPr>
        <w:pBdr>
          <w:bottom w:val="single" w:sz="8" w:space="0" w:color="000000"/>
        </w:pBdr>
        <w:spacing w:before="400" w:line="240" w:lineRule="auto"/>
        <w:ind w:left="70" w:right="70"/>
        <w:jc w:val="both"/>
        <w:rPr>
          <w:rFonts w:ascii="Verdana" w:eastAsia="Times New Roman" w:hAnsi="Verdana" w:cs="Times New Roman"/>
          <w:b/>
          <w:bCs/>
          <w:lang w:eastAsia="es-AR"/>
        </w:rPr>
      </w:pPr>
      <w:r w:rsidRPr="00D21749">
        <w:rPr>
          <w:rFonts w:ascii="Verdana" w:eastAsia="Times New Roman" w:hAnsi="Verdana" w:cs="Times New Roman"/>
          <w:b/>
          <w:bCs/>
          <w:lang w:eastAsia="es-AR"/>
        </w:rPr>
        <w:t>X - VIGENCIA</w:t>
      </w:r>
    </w:p>
    <w:p w:rsidR="00D21749" w:rsidRPr="00D21749" w:rsidRDefault="00D21749" w:rsidP="00D21749">
      <w:pPr>
        <w:spacing w:before="120" w:after="70" w:line="240" w:lineRule="auto"/>
        <w:ind w:left="70" w:right="70"/>
        <w:jc w:val="both"/>
        <w:rPr>
          <w:rFonts w:ascii="Verdana" w:eastAsia="Times New Roman" w:hAnsi="Verdana" w:cs="Times New Roman"/>
          <w:sz w:val="16"/>
          <w:szCs w:val="16"/>
          <w:lang w:eastAsia="es-AR"/>
        </w:rPr>
      </w:pPr>
      <w:r w:rsidRPr="00D21749">
        <w:rPr>
          <w:rFonts w:ascii="Verdana" w:eastAsia="Times New Roman" w:hAnsi="Verdana" w:cs="Times New Roman"/>
          <w:sz w:val="16"/>
          <w:szCs w:val="16"/>
          <w:lang w:eastAsia="es-AR"/>
        </w:rPr>
        <w:t>A partir del 1/1/2015.</w:t>
      </w:r>
    </w:p>
    <w:p w:rsidR="00D21749" w:rsidRPr="00D21749" w:rsidRDefault="00D21749" w:rsidP="00D21749">
      <w:pPr>
        <w:spacing w:before="70" w:after="70" w:line="240" w:lineRule="auto"/>
        <w:ind w:left="70" w:right="70"/>
        <w:rPr>
          <w:rFonts w:ascii="Calibri" w:eastAsia="Times New Roman" w:hAnsi="Calibri" w:cs="Times New Roman"/>
          <w:sz w:val="24"/>
          <w:szCs w:val="24"/>
          <w:lang w:eastAsia="es-AR"/>
        </w:rPr>
      </w:pPr>
      <w:r w:rsidRPr="00D21749">
        <w:rPr>
          <w:rFonts w:ascii="Calibri" w:eastAsia="Times New Roman" w:hAnsi="Calibri" w:cs="Times New Roman"/>
          <w:sz w:val="24"/>
          <w:szCs w:val="24"/>
          <w:lang w:eastAsia="es-AR"/>
        </w:rPr>
        <w:t> </w:t>
      </w:r>
    </w:p>
    <w:p w:rsidR="00D21749" w:rsidRPr="00D21749" w:rsidRDefault="00D21749" w:rsidP="00D21749">
      <w:pPr>
        <w:pBdr>
          <w:top w:val="single" w:sz="4" w:space="5" w:color="808080"/>
        </w:pBdr>
        <w:spacing w:before="400" w:after="70" w:line="240" w:lineRule="auto"/>
        <w:ind w:left="70" w:right="70"/>
        <w:jc w:val="both"/>
        <w:rPr>
          <w:rFonts w:ascii="Verdana" w:eastAsia="Times New Roman" w:hAnsi="Verdana" w:cs="Times New Roman"/>
          <w:b/>
          <w:bCs/>
          <w:sz w:val="16"/>
          <w:szCs w:val="16"/>
          <w:lang w:eastAsia="es-AR"/>
        </w:rPr>
      </w:pPr>
      <w:r w:rsidRPr="00D21749">
        <w:rPr>
          <w:rFonts w:ascii="Verdana" w:eastAsia="Times New Roman" w:hAnsi="Verdana" w:cs="Times New Roman"/>
          <w:b/>
          <w:bCs/>
          <w:sz w:val="16"/>
          <w:szCs w:val="16"/>
          <w:lang w:eastAsia="es-AR"/>
        </w:rPr>
        <w:t>Notas:</w:t>
      </w:r>
    </w:p>
    <w:p w:rsidR="00D21749" w:rsidRPr="00D21749" w:rsidRDefault="00D21749" w:rsidP="00D21749">
      <w:pPr>
        <w:spacing w:before="70" w:after="70" w:line="240" w:lineRule="auto"/>
        <w:ind w:left="70" w:right="70"/>
        <w:jc w:val="both"/>
        <w:rPr>
          <w:rFonts w:ascii="Verdana" w:eastAsia="Times New Roman" w:hAnsi="Verdana" w:cs="Times New Roman"/>
          <w:sz w:val="15"/>
          <w:szCs w:val="15"/>
          <w:lang w:eastAsia="es-AR"/>
        </w:rPr>
      </w:pPr>
      <w:bookmarkStart w:id="0" w:name="PIC_ALANIZ_Q0"/>
      <w:r w:rsidRPr="00D21749">
        <w:rPr>
          <w:rFonts w:ascii="Verdana" w:eastAsia="Times New Roman" w:hAnsi="Verdana" w:cs="Times New Roman"/>
          <w:vanish/>
          <w:sz w:val="15"/>
          <w:szCs w:val="15"/>
          <w:lang w:eastAsia="es-AR"/>
        </w:rPr>
        <w:t> </w:t>
      </w:r>
      <w:bookmarkEnd w:id="0"/>
      <w:r w:rsidRPr="00D21749">
        <w:rPr>
          <w:rFonts w:ascii="Verdana" w:eastAsia="Times New Roman" w:hAnsi="Verdana" w:cs="Times New Roman"/>
          <w:sz w:val="15"/>
          <w:szCs w:val="15"/>
          <w:lang w:eastAsia="es-AR"/>
        </w:rPr>
        <w:t>(*) Contador público (</w:t>
      </w:r>
      <w:proofErr w:type="spellStart"/>
      <w:r w:rsidRPr="00D21749">
        <w:rPr>
          <w:rFonts w:ascii="Verdana" w:eastAsia="Times New Roman" w:hAnsi="Verdana" w:cs="Times New Roman"/>
          <w:sz w:val="15"/>
          <w:szCs w:val="15"/>
          <w:lang w:eastAsia="es-AR"/>
        </w:rPr>
        <w:t>UBA</w:t>
      </w:r>
      <w:proofErr w:type="spellEnd"/>
      <w:r w:rsidRPr="00D21749">
        <w:rPr>
          <w:rFonts w:ascii="Verdana" w:eastAsia="Times New Roman" w:hAnsi="Verdana" w:cs="Times New Roman"/>
          <w:sz w:val="15"/>
          <w:szCs w:val="15"/>
          <w:lang w:eastAsia="es-AR"/>
        </w:rPr>
        <w:t xml:space="preserve">). Asesor tributario. Se desempeña como consultor de empresas de nivel nacional e internacional. Autor de libros de la especialidad para </w:t>
      </w:r>
      <w:proofErr w:type="gramStart"/>
      <w:r w:rsidRPr="00D21749">
        <w:rPr>
          <w:rFonts w:ascii="Verdana" w:eastAsia="Times New Roman" w:hAnsi="Verdana" w:cs="Times New Roman"/>
          <w:sz w:val="15"/>
          <w:szCs w:val="15"/>
          <w:lang w:eastAsia="es-AR"/>
        </w:rPr>
        <w:t>la</w:t>
      </w:r>
      <w:proofErr w:type="gramEnd"/>
      <w:r w:rsidRPr="00D21749">
        <w:rPr>
          <w:rFonts w:ascii="Verdana" w:eastAsia="Times New Roman" w:hAnsi="Verdana" w:cs="Times New Roman"/>
          <w:sz w:val="15"/>
          <w:szCs w:val="15"/>
          <w:lang w:eastAsia="es-AR"/>
        </w:rPr>
        <w:t xml:space="preserve"> ed. </w:t>
      </w:r>
      <w:proofErr w:type="spellStart"/>
      <w:r w:rsidRPr="00D21749">
        <w:rPr>
          <w:rFonts w:ascii="Verdana" w:eastAsia="Times New Roman" w:hAnsi="Verdana" w:cs="Times New Roman"/>
          <w:sz w:val="15"/>
          <w:szCs w:val="15"/>
          <w:lang w:eastAsia="es-AR"/>
        </w:rPr>
        <w:t>ERREPAR</w:t>
      </w:r>
      <w:proofErr w:type="spellEnd"/>
      <w:r w:rsidRPr="00D21749">
        <w:rPr>
          <w:rFonts w:ascii="Verdana" w:eastAsia="Times New Roman" w:hAnsi="Verdana" w:cs="Times New Roman"/>
          <w:sz w:val="15"/>
          <w:szCs w:val="15"/>
          <w:lang w:eastAsia="es-AR"/>
        </w:rPr>
        <w:t>. Profesional independiente. Miembro de la Asociación Argentina de Estudio Fiscales</w:t>
      </w:r>
    </w:p>
    <w:p w:rsidR="00D21749" w:rsidRPr="00D21749" w:rsidRDefault="00D21749" w:rsidP="00D21749">
      <w:pPr>
        <w:spacing w:before="70" w:after="70" w:line="240" w:lineRule="auto"/>
        <w:ind w:left="70" w:right="70"/>
        <w:jc w:val="both"/>
        <w:rPr>
          <w:rFonts w:ascii="Verdana" w:eastAsia="Times New Roman" w:hAnsi="Verdana" w:cs="Times New Roman"/>
          <w:sz w:val="15"/>
          <w:szCs w:val="15"/>
          <w:lang w:eastAsia="es-AR"/>
        </w:rPr>
      </w:pPr>
      <w:bookmarkStart w:id="1" w:name="PIC_ALANIZ_Q1"/>
      <w:r w:rsidRPr="00D21749">
        <w:rPr>
          <w:rFonts w:ascii="Verdana" w:eastAsia="Times New Roman" w:hAnsi="Verdana" w:cs="Times New Roman"/>
          <w:vanish/>
          <w:sz w:val="15"/>
          <w:szCs w:val="15"/>
          <w:lang w:eastAsia="es-AR"/>
        </w:rPr>
        <w:t> </w:t>
      </w:r>
      <w:bookmarkEnd w:id="1"/>
      <w:r w:rsidRPr="00D21749">
        <w:rPr>
          <w:rFonts w:ascii="Verdana" w:eastAsia="Times New Roman" w:hAnsi="Verdana" w:cs="Times New Roman"/>
          <w:sz w:val="15"/>
          <w:szCs w:val="15"/>
          <w:lang w:eastAsia="es-AR"/>
        </w:rPr>
        <w:t xml:space="preserve">(1) 17 de diciembre, “Día del Contador”: en conmemoración a la publicación en el año 1494 del libro escrito por el matemático italiano Luca </w:t>
      </w:r>
      <w:proofErr w:type="spellStart"/>
      <w:r w:rsidRPr="00D21749">
        <w:rPr>
          <w:rFonts w:ascii="Verdana" w:eastAsia="Times New Roman" w:hAnsi="Verdana" w:cs="Times New Roman"/>
          <w:sz w:val="15"/>
          <w:szCs w:val="15"/>
          <w:lang w:eastAsia="es-AR"/>
        </w:rPr>
        <w:t>Pacioli</w:t>
      </w:r>
      <w:proofErr w:type="spellEnd"/>
      <w:r w:rsidRPr="00D21749">
        <w:rPr>
          <w:rFonts w:ascii="Verdana" w:eastAsia="Times New Roman" w:hAnsi="Verdana" w:cs="Times New Roman"/>
          <w:sz w:val="15"/>
          <w:szCs w:val="15"/>
          <w:lang w:eastAsia="es-AR"/>
        </w:rPr>
        <w:t>, donde se describe el método de partida doble, base de la Contabilidad</w:t>
      </w:r>
    </w:p>
    <w:p w:rsidR="00D21749" w:rsidRPr="00D21749" w:rsidRDefault="00D21749" w:rsidP="00D21749">
      <w:pPr>
        <w:spacing w:before="70" w:after="70" w:line="240" w:lineRule="auto"/>
        <w:ind w:left="70" w:right="70"/>
        <w:jc w:val="both"/>
        <w:rPr>
          <w:rFonts w:ascii="Verdana" w:eastAsia="Times New Roman" w:hAnsi="Verdana" w:cs="Times New Roman"/>
          <w:sz w:val="15"/>
          <w:szCs w:val="15"/>
          <w:lang w:eastAsia="es-AR"/>
        </w:rPr>
      </w:pPr>
      <w:bookmarkStart w:id="2" w:name="PIC_ALANIZ_Q2"/>
      <w:r w:rsidRPr="00D21749">
        <w:rPr>
          <w:rFonts w:ascii="Verdana" w:eastAsia="Times New Roman" w:hAnsi="Verdana" w:cs="Times New Roman"/>
          <w:vanish/>
          <w:sz w:val="15"/>
          <w:szCs w:val="15"/>
          <w:lang w:eastAsia="es-AR"/>
        </w:rPr>
        <w:t> </w:t>
      </w:r>
      <w:bookmarkEnd w:id="2"/>
      <w:r w:rsidRPr="00D21749">
        <w:rPr>
          <w:rFonts w:ascii="Verdana" w:eastAsia="Times New Roman" w:hAnsi="Verdana" w:cs="Times New Roman"/>
          <w:sz w:val="15"/>
          <w:szCs w:val="15"/>
          <w:lang w:eastAsia="es-AR"/>
        </w:rPr>
        <w:t>(2)</w:t>
      </w:r>
      <w:r w:rsidRPr="00D21749">
        <w:rPr>
          <w:rFonts w:ascii="Verdana" w:eastAsia="Times New Roman" w:hAnsi="Verdana" w:cs="Times New Roman"/>
          <w:b/>
          <w:bCs/>
          <w:sz w:val="15"/>
          <w:szCs w:val="15"/>
          <w:lang w:eastAsia="es-AR"/>
        </w:rPr>
        <w:t xml:space="preserve"> Art. 11, </w:t>
      </w:r>
      <w:proofErr w:type="spellStart"/>
      <w:r w:rsidRPr="00D21749">
        <w:rPr>
          <w:rFonts w:ascii="Verdana" w:eastAsia="Times New Roman" w:hAnsi="Verdana" w:cs="Times New Roman"/>
          <w:b/>
          <w:bCs/>
          <w:sz w:val="15"/>
          <w:szCs w:val="15"/>
          <w:lang w:eastAsia="es-AR"/>
        </w:rPr>
        <w:t>RG</w:t>
      </w:r>
      <w:proofErr w:type="spellEnd"/>
      <w:r w:rsidRPr="00D21749">
        <w:rPr>
          <w:rFonts w:ascii="Verdana" w:eastAsia="Times New Roman" w:hAnsi="Verdana" w:cs="Times New Roman"/>
          <w:b/>
          <w:bCs/>
          <w:sz w:val="15"/>
          <w:szCs w:val="15"/>
          <w:lang w:eastAsia="es-AR"/>
        </w:rPr>
        <w:t xml:space="preserve"> (</w:t>
      </w:r>
      <w:proofErr w:type="spellStart"/>
      <w:r w:rsidRPr="00D21749">
        <w:rPr>
          <w:rFonts w:ascii="Verdana" w:eastAsia="Times New Roman" w:hAnsi="Verdana" w:cs="Times New Roman"/>
          <w:b/>
          <w:bCs/>
          <w:sz w:val="15"/>
          <w:szCs w:val="15"/>
          <w:lang w:eastAsia="es-AR"/>
        </w:rPr>
        <w:t>DGR</w:t>
      </w:r>
      <w:proofErr w:type="spellEnd"/>
      <w:r w:rsidRPr="00D21749">
        <w:rPr>
          <w:rFonts w:ascii="Verdana" w:eastAsia="Times New Roman" w:hAnsi="Verdana" w:cs="Times New Roman"/>
          <w:b/>
          <w:bCs/>
          <w:sz w:val="15"/>
          <w:szCs w:val="15"/>
          <w:lang w:eastAsia="es-AR"/>
        </w:rPr>
        <w:t>) 533/2000</w:t>
      </w:r>
      <w:r w:rsidRPr="00D21749">
        <w:rPr>
          <w:rFonts w:ascii="Verdana" w:eastAsia="Times New Roman" w:hAnsi="Verdana" w:cs="Times New Roman"/>
          <w:sz w:val="15"/>
          <w:szCs w:val="15"/>
          <w:lang w:eastAsia="es-AR"/>
        </w:rPr>
        <w:t xml:space="preserve"> - Derogado por art. 10, R. (</w:t>
      </w:r>
      <w:proofErr w:type="spellStart"/>
      <w:r w:rsidRPr="00D21749">
        <w:rPr>
          <w:rFonts w:ascii="Verdana" w:eastAsia="Times New Roman" w:hAnsi="Verdana" w:cs="Times New Roman"/>
          <w:sz w:val="15"/>
          <w:szCs w:val="15"/>
          <w:lang w:eastAsia="es-AR"/>
        </w:rPr>
        <w:t>DGR</w:t>
      </w:r>
      <w:proofErr w:type="spellEnd"/>
      <w:r w:rsidRPr="00D21749">
        <w:rPr>
          <w:rFonts w:ascii="Verdana" w:eastAsia="Times New Roman" w:hAnsi="Verdana" w:cs="Times New Roman"/>
          <w:sz w:val="15"/>
          <w:szCs w:val="15"/>
          <w:lang w:eastAsia="es-AR"/>
        </w:rPr>
        <w:t>) 1359/2001</w:t>
      </w:r>
    </w:p>
    <w:p w:rsidR="00D21749" w:rsidRPr="00D21749" w:rsidRDefault="00D21749" w:rsidP="00D21749">
      <w:pPr>
        <w:spacing w:before="70" w:after="70" w:line="240" w:lineRule="auto"/>
        <w:ind w:left="180" w:right="70"/>
        <w:jc w:val="both"/>
        <w:rPr>
          <w:rFonts w:ascii="Verdana" w:eastAsia="Times New Roman" w:hAnsi="Verdana" w:cs="Times New Roman"/>
          <w:sz w:val="15"/>
          <w:szCs w:val="15"/>
          <w:lang w:eastAsia="es-AR"/>
        </w:rPr>
      </w:pPr>
      <w:r w:rsidRPr="00D21749">
        <w:rPr>
          <w:rFonts w:ascii="Verdana" w:eastAsia="Times New Roman" w:hAnsi="Verdana" w:cs="Times New Roman"/>
          <w:b/>
          <w:bCs/>
          <w:sz w:val="15"/>
          <w:szCs w:val="15"/>
          <w:lang w:eastAsia="es-AR"/>
        </w:rPr>
        <w:t xml:space="preserve">Su texto decía: </w:t>
      </w:r>
    </w:p>
    <w:p w:rsidR="00D21749" w:rsidRPr="00D21749" w:rsidRDefault="00D21749" w:rsidP="00D21749">
      <w:pPr>
        <w:spacing w:before="70" w:after="70" w:line="240" w:lineRule="auto"/>
        <w:ind w:left="360" w:right="70"/>
        <w:jc w:val="both"/>
        <w:rPr>
          <w:rFonts w:ascii="Verdana" w:eastAsia="Times New Roman" w:hAnsi="Verdana" w:cs="Times New Roman"/>
          <w:sz w:val="15"/>
          <w:szCs w:val="15"/>
          <w:lang w:eastAsia="es-AR"/>
        </w:rPr>
      </w:pPr>
      <w:r w:rsidRPr="00D21749">
        <w:rPr>
          <w:rFonts w:ascii="Verdana" w:eastAsia="Times New Roman" w:hAnsi="Verdana" w:cs="Times New Roman"/>
          <w:b/>
          <w:bCs/>
          <w:sz w:val="15"/>
          <w:szCs w:val="15"/>
          <w:lang w:eastAsia="es-AR"/>
        </w:rPr>
        <w:t>Art. 11</w:t>
      </w:r>
      <w:r w:rsidRPr="00D21749">
        <w:rPr>
          <w:rFonts w:ascii="Verdana" w:eastAsia="Times New Roman" w:hAnsi="Verdana" w:cs="Times New Roman"/>
          <w:sz w:val="15"/>
          <w:szCs w:val="15"/>
          <w:lang w:eastAsia="es-AR"/>
        </w:rPr>
        <w:t xml:space="preserve"> - “</w:t>
      </w:r>
      <w:r w:rsidRPr="00D21749">
        <w:rPr>
          <w:rFonts w:ascii="Verdana" w:eastAsia="Times New Roman" w:hAnsi="Verdana" w:cs="Times New Roman"/>
          <w:i/>
          <w:iCs/>
          <w:sz w:val="15"/>
          <w:szCs w:val="15"/>
          <w:lang w:eastAsia="es-AR"/>
        </w:rPr>
        <w:t>Cuando por aplicación de este régimen se produzcan en forma permanente saldos a favor del contribuyente, su imputación podrá ser trasladada por este a la liquidación del anticipo del mes siguiente, aun excediendo el período fiscal.</w:t>
      </w:r>
    </w:p>
    <w:p w:rsidR="00D21749" w:rsidRPr="00D21749" w:rsidRDefault="00D21749" w:rsidP="00D21749">
      <w:pPr>
        <w:spacing w:before="70" w:after="70" w:line="240" w:lineRule="auto"/>
        <w:ind w:left="360" w:right="70"/>
        <w:jc w:val="both"/>
        <w:rPr>
          <w:rFonts w:ascii="Verdana" w:eastAsia="Times New Roman" w:hAnsi="Verdana" w:cs="Times New Roman"/>
          <w:sz w:val="15"/>
          <w:szCs w:val="15"/>
          <w:lang w:eastAsia="es-AR"/>
        </w:rPr>
      </w:pPr>
      <w:r w:rsidRPr="00D21749">
        <w:rPr>
          <w:rFonts w:ascii="Verdana" w:eastAsia="Times New Roman" w:hAnsi="Verdana" w:cs="Times New Roman"/>
          <w:i/>
          <w:iCs/>
          <w:sz w:val="15"/>
          <w:szCs w:val="15"/>
          <w:lang w:eastAsia="es-AR"/>
        </w:rPr>
        <w:t>Sin perjuicio de lo dispuesto en el párrafo precedente, los sujetos podrán solicitar a esta Dirección General constancias de no retención, en cuyo caso su validez no podrá superar los 180 (ciento ochenta) días hábiles.</w:t>
      </w:r>
    </w:p>
    <w:p w:rsidR="00D21749" w:rsidRPr="00D21749" w:rsidRDefault="00D21749" w:rsidP="00D21749">
      <w:pPr>
        <w:spacing w:before="70" w:after="70" w:line="240" w:lineRule="auto"/>
        <w:ind w:left="360" w:right="70"/>
        <w:jc w:val="both"/>
        <w:rPr>
          <w:rFonts w:ascii="Verdana" w:eastAsia="Times New Roman" w:hAnsi="Verdana" w:cs="Times New Roman"/>
          <w:sz w:val="15"/>
          <w:szCs w:val="15"/>
          <w:lang w:eastAsia="es-AR"/>
        </w:rPr>
      </w:pPr>
      <w:r w:rsidRPr="00D21749">
        <w:rPr>
          <w:rFonts w:ascii="Verdana" w:eastAsia="Times New Roman" w:hAnsi="Verdana" w:cs="Times New Roman"/>
          <w:i/>
          <w:iCs/>
          <w:sz w:val="15"/>
          <w:szCs w:val="15"/>
          <w:lang w:eastAsia="es-AR"/>
        </w:rPr>
        <w:t>A tales efectos deben presentar:</w:t>
      </w:r>
    </w:p>
    <w:p w:rsidR="00D21749" w:rsidRPr="00D21749" w:rsidRDefault="00D21749" w:rsidP="00D21749">
      <w:pPr>
        <w:spacing w:before="70" w:after="70" w:line="240" w:lineRule="auto"/>
        <w:ind w:left="540" w:right="70"/>
        <w:jc w:val="both"/>
        <w:rPr>
          <w:rFonts w:ascii="Verdana" w:eastAsia="Times New Roman" w:hAnsi="Verdana" w:cs="Times New Roman"/>
          <w:sz w:val="15"/>
          <w:szCs w:val="15"/>
          <w:lang w:eastAsia="es-AR"/>
        </w:rPr>
      </w:pPr>
      <w:r w:rsidRPr="00D21749">
        <w:rPr>
          <w:rFonts w:ascii="Verdana" w:eastAsia="Times New Roman" w:hAnsi="Verdana" w:cs="Times New Roman"/>
          <w:i/>
          <w:iCs/>
          <w:sz w:val="15"/>
          <w:szCs w:val="15"/>
          <w:lang w:eastAsia="es-AR"/>
        </w:rPr>
        <w:t>a) Nota acreditando la personería del firmante, consignando nombre y apellido o razón social, domicilio, número de inscripción en el impuesto sobre los ingresos brutos y número de Clave Única de Identificación Tributaria.</w:t>
      </w:r>
    </w:p>
    <w:p w:rsidR="00D21749" w:rsidRPr="00D21749" w:rsidRDefault="00D21749" w:rsidP="00D21749">
      <w:pPr>
        <w:spacing w:before="70" w:after="70" w:line="240" w:lineRule="auto"/>
        <w:ind w:left="540" w:right="70"/>
        <w:jc w:val="both"/>
        <w:rPr>
          <w:rFonts w:ascii="Verdana" w:eastAsia="Times New Roman" w:hAnsi="Verdana" w:cs="Times New Roman"/>
          <w:sz w:val="15"/>
          <w:szCs w:val="15"/>
          <w:lang w:eastAsia="es-AR"/>
        </w:rPr>
      </w:pPr>
      <w:r w:rsidRPr="00D21749">
        <w:rPr>
          <w:rFonts w:ascii="Verdana" w:eastAsia="Times New Roman" w:hAnsi="Verdana" w:cs="Times New Roman"/>
          <w:i/>
          <w:iCs/>
          <w:sz w:val="15"/>
          <w:szCs w:val="15"/>
          <w:lang w:eastAsia="es-AR"/>
        </w:rPr>
        <w:t>b) Fotocopia autenticada de los comprobantes de pago del período fiscal inmediato anterior y de los anticipos o pago del saldo resultante, según corresponda, vencidos a la fecha de la petición.</w:t>
      </w:r>
    </w:p>
    <w:p w:rsidR="00D21749" w:rsidRPr="00D21749" w:rsidRDefault="00D21749" w:rsidP="00D21749">
      <w:pPr>
        <w:spacing w:before="70" w:after="70" w:line="240" w:lineRule="auto"/>
        <w:ind w:left="540" w:right="70"/>
        <w:jc w:val="both"/>
        <w:rPr>
          <w:rFonts w:ascii="Verdana" w:eastAsia="Times New Roman" w:hAnsi="Verdana" w:cs="Times New Roman"/>
          <w:sz w:val="15"/>
          <w:szCs w:val="15"/>
          <w:lang w:eastAsia="es-AR"/>
        </w:rPr>
      </w:pPr>
      <w:r w:rsidRPr="00D21749">
        <w:rPr>
          <w:rFonts w:ascii="Verdana" w:eastAsia="Times New Roman" w:hAnsi="Verdana" w:cs="Times New Roman"/>
          <w:i/>
          <w:iCs/>
          <w:sz w:val="15"/>
          <w:szCs w:val="15"/>
          <w:lang w:eastAsia="es-AR"/>
        </w:rPr>
        <w:t>c) Detallar la base imponible del impuesto o su proyección, correspondiente a los próximos seis anticipos y/o pago del saldo resultante a vencer, indicando la base atribuible a Capital Federal, cuando se trata de contribuyentes comprendidos en el Régimen del Convenio Multilateral.</w:t>
      </w:r>
    </w:p>
    <w:p w:rsidR="00D21749" w:rsidRPr="00D21749" w:rsidRDefault="00D21749" w:rsidP="00D21749">
      <w:pPr>
        <w:spacing w:before="70" w:after="70" w:line="240" w:lineRule="auto"/>
        <w:ind w:left="540" w:right="70"/>
        <w:jc w:val="both"/>
        <w:rPr>
          <w:rFonts w:ascii="Verdana" w:eastAsia="Times New Roman" w:hAnsi="Verdana" w:cs="Times New Roman"/>
          <w:sz w:val="15"/>
          <w:szCs w:val="15"/>
          <w:lang w:eastAsia="es-AR"/>
        </w:rPr>
      </w:pPr>
      <w:r w:rsidRPr="00D21749">
        <w:rPr>
          <w:rFonts w:ascii="Verdana" w:eastAsia="Times New Roman" w:hAnsi="Verdana" w:cs="Times New Roman"/>
          <w:i/>
          <w:iCs/>
          <w:sz w:val="15"/>
          <w:szCs w:val="15"/>
          <w:lang w:eastAsia="es-AR"/>
        </w:rPr>
        <w:t>A estos efectos se realizará una estimación a valores constantes, señalando el método seguido, por los meses no transcurridos.</w:t>
      </w:r>
    </w:p>
    <w:p w:rsidR="00D21749" w:rsidRPr="00D21749" w:rsidRDefault="00D21749" w:rsidP="00D21749">
      <w:pPr>
        <w:spacing w:before="70" w:after="70" w:line="240" w:lineRule="auto"/>
        <w:ind w:left="540" w:right="70"/>
        <w:jc w:val="both"/>
        <w:rPr>
          <w:rFonts w:ascii="Verdana" w:eastAsia="Times New Roman" w:hAnsi="Verdana" w:cs="Times New Roman"/>
          <w:sz w:val="15"/>
          <w:szCs w:val="15"/>
          <w:lang w:eastAsia="es-AR"/>
        </w:rPr>
      </w:pPr>
      <w:r w:rsidRPr="00D21749">
        <w:rPr>
          <w:rFonts w:ascii="Verdana" w:eastAsia="Times New Roman" w:hAnsi="Verdana" w:cs="Times New Roman"/>
          <w:i/>
          <w:iCs/>
          <w:sz w:val="15"/>
          <w:szCs w:val="15"/>
          <w:lang w:eastAsia="es-AR"/>
        </w:rPr>
        <w:t>Cuando abarquen meses del ejercicio fiscal siguiente, los contribuyentes que tributen bajo el Régimen del Convenio Multilateral, deberán proyectar el Coeficiente Unificado atribuible a Capital Federal para dicho período.</w:t>
      </w:r>
    </w:p>
    <w:p w:rsidR="00D21749" w:rsidRPr="00D21749" w:rsidRDefault="00D21749" w:rsidP="00D21749">
      <w:pPr>
        <w:spacing w:before="70" w:after="70" w:line="240" w:lineRule="auto"/>
        <w:ind w:left="540" w:right="70"/>
        <w:jc w:val="both"/>
        <w:rPr>
          <w:rFonts w:ascii="Verdana" w:eastAsia="Times New Roman" w:hAnsi="Verdana" w:cs="Times New Roman"/>
          <w:sz w:val="15"/>
          <w:szCs w:val="15"/>
          <w:lang w:eastAsia="es-AR"/>
        </w:rPr>
      </w:pPr>
      <w:r w:rsidRPr="00D21749">
        <w:rPr>
          <w:rFonts w:ascii="Verdana" w:eastAsia="Times New Roman" w:hAnsi="Verdana" w:cs="Times New Roman"/>
          <w:i/>
          <w:iCs/>
          <w:sz w:val="15"/>
          <w:szCs w:val="15"/>
          <w:lang w:eastAsia="es-AR"/>
        </w:rPr>
        <w:t>Cuando se trate de contribuyentes que tuvieren parcialmente ‘rubros y/u operaciones exentas’ y ‘rubros y/u operaciones gravadas’, el detalle de la base imponible del impuesto o su proyección por los próximos seis anticipos y/o pago del saldo resultante a vencer -previsto en el párrafo anterior-, debe contener discriminado dichos conceptos en forma mensual.</w:t>
      </w:r>
    </w:p>
    <w:p w:rsidR="00D21749" w:rsidRPr="00D21749" w:rsidRDefault="00D21749" w:rsidP="00D21749">
      <w:pPr>
        <w:spacing w:before="70" w:after="70" w:line="240" w:lineRule="auto"/>
        <w:ind w:left="540" w:right="70"/>
        <w:jc w:val="both"/>
        <w:rPr>
          <w:rFonts w:ascii="Verdana" w:eastAsia="Times New Roman" w:hAnsi="Verdana" w:cs="Times New Roman"/>
          <w:sz w:val="15"/>
          <w:szCs w:val="15"/>
          <w:lang w:eastAsia="es-AR"/>
        </w:rPr>
      </w:pPr>
      <w:r w:rsidRPr="00D21749">
        <w:rPr>
          <w:rFonts w:ascii="Verdana" w:eastAsia="Times New Roman" w:hAnsi="Verdana" w:cs="Times New Roman"/>
          <w:i/>
          <w:iCs/>
          <w:sz w:val="15"/>
          <w:szCs w:val="15"/>
          <w:lang w:eastAsia="es-AR"/>
        </w:rPr>
        <w:t>d) Detalle de retenciones no computadas en el saldo a favor, fecha en que se practicaron, nombre y número de inscripción del agente de retención y número de constancia”</w:t>
      </w:r>
    </w:p>
    <w:p w:rsidR="00076527" w:rsidRDefault="00263ADC" w:rsidP="00076527">
      <w:pPr>
        <w:spacing w:after="0" w:line="240" w:lineRule="auto"/>
        <w:rPr>
          <w:rFonts w:ascii="Times New Roman" w:eastAsia="Times New Roman" w:hAnsi="Times New Roman" w:cs="Times New Roman"/>
          <w:sz w:val="24"/>
          <w:szCs w:val="24"/>
          <w:lang w:eastAsia="es-AR"/>
        </w:rPr>
      </w:pPr>
      <w:r w:rsidRPr="00263ADC">
        <w:rPr>
          <w:rFonts w:ascii="Times New Roman" w:eastAsia="Times New Roman" w:hAnsi="Times New Roman" w:cs="Times New Roman"/>
          <w:sz w:val="24"/>
          <w:szCs w:val="24"/>
          <w:lang w:eastAsia="es-AR"/>
        </w:rPr>
        <w:pict>
          <v:rect id="_x0000_i1025" style="width:0;height:1.5pt" o:hralign="center" o:hrstd="t" o:hr="t" fillcolor="#a0a0a0" stroked="f"/>
        </w:pict>
      </w:r>
    </w:p>
    <w:p w:rsidR="00076527" w:rsidRDefault="00076527">
      <w:pPr>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br w:type="page"/>
      </w:r>
    </w:p>
    <w:p w:rsidR="00D21749" w:rsidRPr="00076527" w:rsidRDefault="00D21749" w:rsidP="00076527">
      <w:pPr>
        <w:spacing w:after="0" w:line="240" w:lineRule="auto"/>
        <w:rPr>
          <w:rFonts w:ascii="Times New Roman" w:eastAsia="Times New Roman" w:hAnsi="Times New Roman" w:cs="Times New Roman"/>
          <w:sz w:val="24"/>
          <w:szCs w:val="24"/>
          <w:lang w:eastAsia="es-AR"/>
        </w:rPr>
      </w:pPr>
    </w:p>
    <w:p w:rsidR="00D21749" w:rsidRPr="00D21749" w:rsidRDefault="00076527" w:rsidP="00D21749">
      <w:pPr>
        <w:spacing w:before="300" w:after="70" w:line="240" w:lineRule="auto"/>
        <w:ind w:left="70" w:right="70"/>
        <w:jc w:val="right"/>
        <w:rPr>
          <w:rFonts w:ascii="Verdana" w:eastAsia="Times New Roman" w:hAnsi="Verdana" w:cs="Times New Roman"/>
          <w:b/>
          <w:bCs/>
          <w:sz w:val="20"/>
          <w:szCs w:val="20"/>
          <w:lang w:eastAsia="es-AR"/>
        </w:rPr>
      </w:pPr>
      <w:r>
        <w:rPr>
          <w:rFonts w:ascii="Verdana" w:eastAsia="Times New Roman" w:hAnsi="Verdana" w:cs="Times New Roman"/>
          <w:b/>
          <w:bCs/>
          <w:sz w:val="20"/>
          <w:szCs w:val="20"/>
          <w:lang w:eastAsia="es-AR"/>
        </w:rPr>
        <w:t xml:space="preserve">Por: </w:t>
      </w:r>
      <w:r w:rsidR="00D21749" w:rsidRPr="00D21749">
        <w:rPr>
          <w:rFonts w:ascii="Verdana" w:eastAsia="Times New Roman" w:hAnsi="Verdana" w:cs="Times New Roman"/>
          <w:b/>
          <w:bCs/>
          <w:sz w:val="20"/>
          <w:szCs w:val="20"/>
          <w:lang w:eastAsia="es-AR"/>
        </w:rPr>
        <w:t>JOSÉ A. ALANIZ</w:t>
      </w:r>
    </w:p>
    <w:p w:rsidR="00D21749" w:rsidRPr="00D21749" w:rsidRDefault="00D21749" w:rsidP="00D21749">
      <w:pPr>
        <w:pBdr>
          <w:bottom w:val="single" w:sz="8" w:space="0" w:color="000000"/>
        </w:pBdr>
        <w:spacing w:before="300" w:line="240" w:lineRule="auto"/>
        <w:ind w:left="70" w:right="70"/>
        <w:jc w:val="both"/>
        <w:rPr>
          <w:rFonts w:ascii="Verdana" w:eastAsia="Times New Roman" w:hAnsi="Verdana" w:cs="Times New Roman"/>
          <w:b/>
          <w:bCs/>
          <w:sz w:val="19"/>
          <w:szCs w:val="19"/>
          <w:lang w:eastAsia="es-AR"/>
        </w:rPr>
      </w:pPr>
      <w:r w:rsidRPr="00D21749">
        <w:rPr>
          <w:rFonts w:ascii="Verdana" w:eastAsia="Times New Roman" w:hAnsi="Verdana" w:cs="Times New Roman"/>
          <w:b/>
          <w:bCs/>
          <w:sz w:val="19"/>
          <w:szCs w:val="19"/>
          <w:lang w:eastAsia="es-AR"/>
        </w:rPr>
        <w:t>INGRESOS BRUTOS. REGÍMENES DE RETENCIÓN Y PERCEPCIÓN. SISTEMA DE ATENUACIÓN DE LAS ALÍCUOTAS DE RECAUDACIÓN</w:t>
      </w:r>
    </w:p>
    <w:p w:rsidR="00D21749" w:rsidRPr="00D21749" w:rsidRDefault="00D21749" w:rsidP="00D21749">
      <w:pPr>
        <w:spacing w:before="120" w:after="70" w:line="240" w:lineRule="auto"/>
        <w:ind w:left="70" w:right="70"/>
        <w:jc w:val="both"/>
        <w:rPr>
          <w:rFonts w:ascii="Verdana" w:eastAsia="Times New Roman" w:hAnsi="Verdana" w:cs="Times New Roman"/>
          <w:sz w:val="16"/>
          <w:szCs w:val="16"/>
          <w:lang w:eastAsia="es-AR"/>
        </w:rPr>
      </w:pPr>
      <w:r w:rsidRPr="00D21749">
        <w:rPr>
          <w:rFonts w:ascii="Verdana" w:eastAsia="Times New Roman" w:hAnsi="Verdana" w:cs="Times New Roman"/>
          <w:b/>
          <w:bCs/>
          <w:sz w:val="16"/>
          <w:szCs w:val="16"/>
          <w:lang w:eastAsia="es-AR"/>
        </w:rPr>
        <w:t>a) P.:</w:t>
      </w:r>
      <w:r w:rsidRPr="00D21749">
        <w:rPr>
          <w:rFonts w:ascii="Verdana" w:eastAsia="Times New Roman" w:hAnsi="Verdana" w:cs="Times New Roman"/>
          <w:sz w:val="16"/>
          <w:szCs w:val="16"/>
          <w:lang w:eastAsia="es-AR"/>
        </w:rPr>
        <w:t xml:space="preserve"> ¿Existe en la actualidad algún sistema para impedir retenciones y percepciones del impuesto sobre los ingresos brutos?</w:t>
      </w:r>
    </w:p>
    <w:p w:rsidR="00D21749" w:rsidRPr="00D21749" w:rsidRDefault="00D21749" w:rsidP="00D21749">
      <w:pPr>
        <w:spacing w:before="120" w:after="70" w:line="240" w:lineRule="auto"/>
        <w:ind w:left="70" w:right="70"/>
        <w:jc w:val="both"/>
        <w:rPr>
          <w:rFonts w:ascii="Verdana" w:eastAsia="Times New Roman" w:hAnsi="Verdana" w:cs="Times New Roman"/>
          <w:sz w:val="16"/>
          <w:szCs w:val="16"/>
          <w:lang w:eastAsia="es-AR"/>
        </w:rPr>
      </w:pPr>
      <w:r w:rsidRPr="00D21749">
        <w:rPr>
          <w:rFonts w:ascii="Verdana" w:eastAsia="Times New Roman" w:hAnsi="Verdana" w:cs="Times New Roman"/>
          <w:b/>
          <w:bCs/>
          <w:sz w:val="16"/>
          <w:szCs w:val="16"/>
          <w:lang w:eastAsia="es-AR"/>
        </w:rPr>
        <w:t>a) R.:</w:t>
      </w:r>
      <w:r w:rsidRPr="00D21749">
        <w:rPr>
          <w:rFonts w:ascii="Verdana" w:eastAsia="Times New Roman" w:hAnsi="Verdana" w:cs="Times New Roman"/>
          <w:sz w:val="16"/>
          <w:szCs w:val="16"/>
          <w:lang w:eastAsia="es-AR"/>
        </w:rPr>
        <w:t xml:space="preserve"> Advertimos que, a través de la </w:t>
      </w:r>
      <w:hyperlink r:id="rId8" w:tgtFrame="_blank" w:history="1">
        <w:r w:rsidRPr="00D21749">
          <w:rPr>
            <w:rFonts w:ascii="Verdana" w:eastAsia="Times New Roman" w:hAnsi="Verdana" w:cs="Times New Roman"/>
            <w:color w:val="0000FF"/>
            <w:sz w:val="16"/>
            <w:szCs w:val="16"/>
            <w:u w:val="single"/>
            <w:lang w:eastAsia="es-AR"/>
          </w:rPr>
          <w:t>resolución (</w:t>
        </w:r>
        <w:proofErr w:type="spellStart"/>
        <w:r w:rsidRPr="00D21749">
          <w:rPr>
            <w:rFonts w:ascii="Verdana" w:eastAsia="Times New Roman" w:hAnsi="Verdana" w:cs="Times New Roman"/>
            <w:color w:val="0000FF"/>
            <w:sz w:val="16"/>
            <w:szCs w:val="16"/>
            <w:u w:val="single"/>
            <w:lang w:eastAsia="es-AR"/>
          </w:rPr>
          <w:t>AGIP</w:t>
        </w:r>
        <w:proofErr w:type="spellEnd"/>
        <w:r w:rsidRPr="00D21749">
          <w:rPr>
            <w:rFonts w:ascii="Verdana" w:eastAsia="Times New Roman" w:hAnsi="Verdana" w:cs="Times New Roman"/>
            <w:color w:val="0000FF"/>
            <w:sz w:val="16"/>
            <w:szCs w:val="16"/>
            <w:u w:val="single"/>
            <w:lang w:eastAsia="es-AR"/>
          </w:rPr>
          <w:t xml:space="preserve"> Bs. As. </w:t>
        </w:r>
        <w:proofErr w:type="spellStart"/>
        <w:r w:rsidRPr="00D21749">
          <w:rPr>
            <w:rFonts w:ascii="Verdana" w:eastAsia="Times New Roman" w:hAnsi="Verdana" w:cs="Times New Roman"/>
            <w:color w:val="0000FF"/>
            <w:sz w:val="16"/>
            <w:szCs w:val="16"/>
            <w:u w:val="single"/>
            <w:lang w:eastAsia="es-AR"/>
          </w:rPr>
          <w:t>cdad</w:t>
        </w:r>
        <w:proofErr w:type="spellEnd"/>
        <w:r w:rsidRPr="00D21749">
          <w:rPr>
            <w:rFonts w:ascii="Verdana" w:eastAsia="Times New Roman" w:hAnsi="Verdana" w:cs="Times New Roman"/>
            <w:color w:val="0000FF"/>
            <w:sz w:val="16"/>
            <w:szCs w:val="16"/>
            <w:u w:val="single"/>
            <w:lang w:eastAsia="es-AR"/>
          </w:rPr>
          <w:t>.) 816/2014</w:t>
        </w:r>
      </w:hyperlink>
      <w:r w:rsidRPr="00D21749">
        <w:rPr>
          <w:rFonts w:ascii="Verdana" w:eastAsia="Times New Roman" w:hAnsi="Verdana" w:cs="Times New Roman"/>
          <w:sz w:val="16"/>
          <w:szCs w:val="16"/>
          <w:lang w:eastAsia="es-AR"/>
        </w:rPr>
        <w:t xml:space="preserve">, la </w:t>
      </w:r>
      <w:proofErr w:type="spellStart"/>
      <w:r w:rsidRPr="00D21749">
        <w:rPr>
          <w:rFonts w:ascii="Verdana" w:eastAsia="Times New Roman" w:hAnsi="Verdana" w:cs="Times New Roman"/>
          <w:sz w:val="16"/>
          <w:szCs w:val="16"/>
          <w:lang w:eastAsia="es-AR"/>
        </w:rPr>
        <w:t>AGIP</w:t>
      </w:r>
      <w:proofErr w:type="spellEnd"/>
      <w:r w:rsidRPr="00D21749">
        <w:rPr>
          <w:rFonts w:ascii="Verdana" w:eastAsia="Times New Roman" w:hAnsi="Verdana" w:cs="Times New Roman"/>
          <w:sz w:val="16"/>
          <w:szCs w:val="16"/>
          <w:lang w:eastAsia="es-AR"/>
        </w:rPr>
        <w:t xml:space="preserve"> establece el procedimiento por el cual los contribuyentes del impuesto sobre los ingresos brutos que acrediten la generación permanente de saldos a favor, como resultado de la aplicación de los regímenes de recaudación, podrán solicitar la atenuación de las alícuotas correspondientes.</w:t>
      </w:r>
    </w:p>
    <w:p w:rsidR="00D21749" w:rsidRPr="00D21749" w:rsidRDefault="00D21749" w:rsidP="00D21749">
      <w:pPr>
        <w:spacing w:before="120" w:after="70" w:line="240" w:lineRule="auto"/>
        <w:ind w:left="70" w:right="70"/>
        <w:jc w:val="both"/>
        <w:rPr>
          <w:rFonts w:ascii="Verdana" w:eastAsia="Times New Roman" w:hAnsi="Verdana" w:cs="Times New Roman"/>
          <w:sz w:val="16"/>
          <w:szCs w:val="16"/>
          <w:lang w:eastAsia="es-AR"/>
        </w:rPr>
      </w:pPr>
      <w:r w:rsidRPr="00D21749">
        <w:rPr>
          <w:rFonts w:ascii="Verdana" w:eastAsia="Times New Roman" w:hAnsi="Verdana" w:cs="Times New Roman"/>
          <w:b/>
          <w:bCs/>
          <w:sz w:val="16"/>
          <w:szCs w:val="16"/>
          <w:lang w:eastAsia="es-AR"/>
        </w:rPr>
        <w:t>b) P.:</w:t>
      </w:r>
      <w:r w:rsidRPr="00D21749">
        <w:rPr>
          <w:rFonts w:ascii="Verdana" w:eastAsia="Times New Roman" w:hAnsi="Verdana" w:cs="Times New Roman"/>
          <w:sz w:val="16"/>
          <w:szCs w:val="16"/>
          <w:lang w:eastAsia="es-AR"/>
        </w:rPr>
        <w:t xml:space="preserve"> ¿Cuáles son las condiciones para acceder al sistema de atenuación de retenciones y percepciones del impuesto?</w:t>
      </w:r>
    </w:p>
    <w:p w:rsidR="00D21749" w:rsidRPr="00D21749" w:rsidRDefault="00D21749" w:rsidP="00D21749">
      <w:pPr>
        <w:spacing w:before="120" w:after="70" w:line="240" w:lineRule="auto"/>
        <w:ind w:left="70" w:right="70"/>
        <w:jc w:val="both"/>
        <w:rPr>
          <w:rFonts w:ascii="Verdana" w:eastAsia="Times New Roman" w:hAnsi="Verdana" w:cs="Times New Roman"/>
          <w:sz w:val="16"/>
          <w:szCs w:val="16"/>
          <w:lang w:eastAsia="es-AR"/>
        </w:rPr>
      </w:pPr>
      <w:r w:rsidRPr="00D21749">
        <w:rPr>
          <w:rFonts w:ascii="Verdana" w:eastAsia="Times New Roman" w:hAnsi="Verdana" w:cs="Times New Roman"/>
          <w:b/>
          <w:bCs/>
          <w:sz w:val="16"/>
          <w:szCs w:val="16"/>
          <w:lang w:eastAsia="es-AR"/>
        </w:rPr>
        <w:t>b) R.:</w:t>
      </w:r>
      <w:r w:rsidRPr="00D21749">
        <w:rPr>
          <w:rFonts w:ascii="Verdana" w:eastAsia="Times New Roman" w:hAnsi="Verdana" w:cs="Times New Roman"/>
          <w:sz w:val="16"/>
          <w:szCs w:val="16"/>
          <w:lang w:eastAsia="es-AR"/>
        </w:rPr>
        <w:t xml:space="preserve"> Las condiciones generales previstas por la resolución (</w:t>
      </w:r>
      <w:proofErr w:type="spellStart"/>
      <w:r w:rsidRPr="00D21749">
        <w:rPr>
          <w:rFonts w:ascii="Verdana" w:eastAsia="Times New Roman" w:hAnsi="Verdana" w:cs="Times New Roman"/>
          <w:sz w:val="16"/>
          <w:szCs w:val="16"/>
          <w:lang w:eastAsia="es-AR"/>
        </w:rPr>
        <w:t>AGIP</w:t>
      </w:r>
      <w:proofErr w:type="spellEnd"/>
      <w:r w:rsidRPr="00D21749">
        <w:rPr>
          <w:rFonts w:ascii="Verdana" w:eastAsia="Times New Roman" w:hAnsi="Verdana" w:cs="Times New Roman"/>
          <w:sz w:val="16"/>
          <w:szCs w:val="16"/>
          <w:lang w:eastAsia="es-AR"/>
        </w:rPr>
        <w:t xml:space="preserve"> Bs. As. </w:t>
      </w:r>
      <w:proofErr w:type="spellStart"/>
      <w:r w:rsidRPr="00D21749">
        <w:rPr>
          <w:rFonts w:ascii="Verdana" w:eastAsia="Times New Roman" w:hAnsi="Verdana" w:cs="Times New Roman"/>
          <w:sz w:val="16"/>
          <w:szCs w:val="16"/>
          <w:lang w:eastAsia="es-AR"/>
        </w:rPr>
        <w:t>cdad</w:t>
      </w:r>
      <w:proofErr w:type="spellEnd"/>
      <w:r w:rsidRPr="00D21749">
        <w:rPr>
          <w:rFonts w:ascii="Verdana" w:eastAsia="Times New Roman" w:hAnsi="Verdana" w:cs="Times New Roman"/>
          <w:sz w:val="16"/>
          <w:szCs w:val="16"/>
          <w:lang w:eastAsia="es-AR"/>
        </w:rPr>
        <w:t>.) 816/2014 son las siguientes:</w:t>
      </w:r>
    </w:p>
    <w:p w:rsidR="00D21749" w:rsidRPr="00D21749" w:rsidRDefault="00D21749" w:rsidP="00D21749">
      <w:pPr>
        <w:spacing w:before="80" w:after="70" w:line="240" w:lineRule="auto"/>
        <w:ind w:left="180" w:right="70"/>
        <w:jc w:val="both"/>
        <w:rPr>
          <w:rFonts w:ascii="Verdana" w:eastAsia="Times New Roman" w:hAnsi="Verdana" w:cs="Times New Roman"/>
          <w:sz w:val="16"/>
          <w:szCs w:val="16"/>
          <w:lang w:eastAsia="es-AR"/>
        </w:rPr>
      </w:pPr>
      <w:r w:rsidRPr="00D21749">
        <w:rPr>
          <w:rFonts w:ascii="Verdana" w:eastAsia="Times New Roman" w:hAnsi="Verdana" w:cs="Times New Roman"/>
          <w:sz w:val="16"/>
          <w:szCs w:val="16"/>
          <w:lang w:eastAsia="es-AR"/>
        </w:rPr>
        <w:t>a) Resultar contribuyente del impuesto sobre los ingresos brutos por la Ciudad de Buenos Aires.</w:t>
      </w:r>
    </w:p>
    <w:p w:rsidR="00D21749" w:rsidRPr="00D21749" w:rsidRDefault="00D21749" w:rsidP="00D21749">
      <w:pPr>
        <w:spacing w:before="80" w:after="70" w:line="240" w:lineRule="auto"/>
        <w:ind w:left="180" w:right="70"/>
        <w:jc w:val="both"/>
        <w:rPr>
          <w:rFonts w:ascii="Verdana" w:eastAsia="Times New Roman" w:hAnsi="Verdana" w:cs="Times New Roman"/>
          <w:sz w:val="16"/>
          <w:szCs w:val="16"/>
          <w:lang w:eastAsia="es-AR"/>
        </w:rPr>
      </w:pPr>
      <w:r w:rsidRPr="00D21749">
        <w:rPr>
          <w:rFonts w:ascii="Verdana" w:eastAsia="Times New Roman" w:hAnsi="Verdana" w:cs="Times New Roman"/>
          <w:b/>
          <w:bCs/>
          <w:i/>
          <w:iCs/>
          <w:sz w:val="16"/>
          <w:szCs w:val="16"/>
          <w:lang w:eastAsia="es-AR"/>
        </w:rPr>
        <w:t xml:space="preserve">Nuestra consideración: </w:t>
      </w:r>
      <w:r w:rsidRPr="00D21749">
        <w:rPr>
          <w:rFonts w:ascii="Verdana" w:eastAsia="Times New Roman" w:hAnsi="Verdana" w:cs="Times New Roman"/>
          <w:sz w:val="16"/>
          <w:szCs w:val="16"/>
          <w:lang w:eastAsia="es-AR"/>
        </w:rPr>
        <w:t xml:space="preserve">si a pesar de no ser contribuyente de la </w:t>
      </w:r>
      <w:proofErr w:type="spellStart"/>
      <w:r w:rsidRPr="00D21749">
        <w:rPr>
          <w:rFonts w:ascii="Verdana" w:eastAsia="Times New Roman" w:hAnsi="Verdana" w:cs="Times New Roman"/>
          <w:sz w:val="16"/>
          <w:szCs w:val="16"/>
          <w:lang w:eastAsia="es-AR"/>
        </w:rPr>
        <w:t>CABA</w:t>
      </w:r>
      <w:proofErr w:type="spellEnd"/>
      <w:r w:rsidRPr="00D21749">
        <w:rPr>
          <w:rFonts w:ascii="Verdana" w:eastAsia="Times New Roman" w:hAnsi="Verdana" w:cs="Times New Roman"/>
          <w:sz w:val="16"/>
          <w:szCs w:val="16"/>
          <w:lang w:eastAsia="es-AR"/>
        </w:rPr>
        <w:t xml:space="preserve">, me retienen/perciben por dicha jurisdicción, este sistema no resulta de aplicación. Vale la aclaración: de ninguna manera se debe acceder a la inscripción, por el solo hecho de lograr la exclusión de las recaudaciones por la Comuna. Proceden otras acciones legales y no </w:t>
      </w:r>
      <w:proofErr w:type="spellStart"/>
      <w:r w:rsidRPr="00D21749">
        <w:rPr>
          <w:rFonts w:ascii="Verdana" w:eastAsia="Times New Roman" w:hAnsi="Verdana" w:cs="Times New Roman"/>
          <w:sz w:val="16"/>
          <w:szCs w:val="16"/>
          <w:lang w:eastAsia="es-AR"/>
        </w:rPr>
        <w:t>esta</w:t>
      </w:r>
      <w:proofErr w:type="spellEnd"/>
      <w:r w:rsidRPr="00D21749">
        <w:rPr>
          <w:rFonts w:ascii="Verdana" w:eastAsia="Times New Roman" w:hAnsi="Verdana" w:cs="Times New Roman"/>
          <w:sz w:val="16"/>
          <w:szCs w:val="16"/>
          <w:lang w:eastAsia="es-AR"/>
        </w:rPr>
        <w:t>.</w:t>
      </w:r>
    </w:p>
    <w:p w:rsidR="00D21749" w:rsidRPr="00D21749" w:rsidRDefault="00D21749" w:rsidP="00D21749">
      <w:pPr>
        <w:spacing w:before="80" w:after="70" w:line="240" w:lineRule="auto"/>
        <w:ind w:left="180" w:right="70"/>
        <w:jc w:val="both"/>
        <w:rPr>
          <w:rFonts w:ascii="Verdana" w:eastAsia="Times New Roman" w:hAnsi="Verdana" w:cs="Times New Roman"/>
          <w:sz w:val="16"/>
          <w:szCs w:val="16"/>
          <w:lang w:eastAsia="es-AR"/>
        </w:rPr>
      </w:pPr>
      <w:r w:rsidRPr="00D21749">
        <w:rPr>
          <w:rFonts w:ascii="Verdana" w:eastAsia="Times New Roman" w:hAnsi="Verdana" w:cs="Times New Roman"/>
          <w:sz w:val="16"/>
          <w:szCs w:val="16"/>
          <w:lang w:eastAsia="es-AR"/>
        </w:rPr>
        <w:t>b) La generación permanente de saldos a favor.</w:t>
      </w:r>
    </w:p>
    <w:p w:rsidR="00D21749" w:rsidRPr="00D21749" w:rsidRDefault="00D21749" w:rsidP="00D21749">
      <w:pPr>
        <w:spacing w:before="80" w:after="70" w:line="240" w:lineRule="auto"/>
        <w:ind w:left="180" w:right="70"/>
        <w:jc w:val="both"/>
        <w:rPr>
          <w:rFonts w:ascii="Verdana" w:eastAsia="Times New Roman" w:hAnsi="Verdana" w:cs="Times New Roman"/>
          <w:sz w:val="16"/>
          <w:szCs w:val="16"/>
          <w:lang w:eastAsia="es-AR"/>
        </w:rPr>
      </w:pPr>
      <w:r w:rsidRPr="00D21749">
        <w:rPr>
          <w:rFonts w:ascii="Verdana" w:eastAsia="Times New Roman" w:hAnsi="Verdana" w:cs="Times New Roman"/>
          <w:b/>
          <w:bCs/>
          <w:i/>
          <w:iCs/>
          <w:sz w:val="16"/>
          <w:szCs w:val="16"/>
          <w:lang w:eastAsia="es-AR"/>
        </w:rPr>
        <w:t>Nuestra consideración</w:t>
      </w:r>
      <w:r w:rsidRPr="00D21749">
        <w:rPr>
          <w:rFonts w:ascii="Verdana" w:eastAsia="Times New Roman" w:hAnsi="Verdana" w:cs="Times New Roman"/>
          <w:sz w:val="16"/>
          <w:szCs w:val="16"/>
          <w:lang w:eastAsia="es-AR"/>
        </w:rPr>
        <w:t>: se exige por un período prolongado la generación de saldos a favor. El mero hecho de contar con saldos a favor acumulados no habilita la aplicación del presente régimen de atenuación.</w:t>
      </w:r>
    </w:p>
    <w:p w:rsidR="00D21749" w:rsidRPr="00D21749" w:rsidRDefault="00D21749" w:rsidP="00D21749">
      <w:pPr>
        <w:spacing w:before="80" w:after="70" w:line="240" w:lineRule="auto"/>
        <w:ind w:left="180" w:right="70"/>
        <w:jc w:val="both"/>
        <w:rPr>
          <w:rFonts w:ascii="Verdana" w:eastAsia="Times New Roman" w:hAnsi="Verdana" w:cs="Times New Roman"/>
          <w:sz w:val="16"/>
          <w:szCs w:val="16"/>
          <w:lang w:eastAsia="es-AR"/>
        </w:rPr>
      </w:pPr>
      <w:r w:rsidRPr="00D21749">
        <w:rPr>
          <w:rFonts w:ascii="Verdana" w:eastAsia="Times New Roman" w:hAnsi="Verdana" w:cs="Times New Roman"/>
          <w:sz w:val="16"/>
          <w:szCs w:val="16"/>
          <w:lang w:eastAsia="es-AR"/>
        </w:rPr>
        <w:t>c) El Fisco evaluará las alícuotas impositivas para otorgar la atenuación.</w:t>
      </w:r>
    </w:p>
    <w:p w:rsidR="00D21749" w:rsidRPr="00D21749" w:rsidRDefault="00D21749" w:rsidP="00D21749">
      <w:pPr>
        <w:spacing w:before="80" w:after="70" w:line="240" w:lineRule="auto"/>
        <w:ind w:left="180" w:right="70"/>
        <w:jc w:val="both"/>
        <w:rPr>
          <w:rFonts w:ascii="Verdana" w:eastAsia="Times New Roman" w:hAnsi="Verdana" w:cs="Times New Roman"/>
          <w:sz w:val="16"/>
          <w:szCs w:val="16"/>
          <w:lang w:eastAsia="es-AR"/>
        </w:rPr>
      </w:pPr>
      <w:r w:rsidRPr="00D21749">
        <w:rPr>
          <w:rFonts w:ascii="Verdana" w:eastAsia="Times New Roman" w:hAnsi="Verdana" w:cs="Times New Roman"/>
          <w:b/>
          <w:bCs/>
          <w:i/>
          <w:iCs/>
          <w:sz w:val="16"/>
          <w:szCs w:val="16"/>
          <w:lang w:eastAsia="es-AR"/>
        </w:rPr>
        <w:t xml:space="preserve">Nuestra consideración: </w:t>
      </w:r>
      <w:r w:rsidRPr="00D21749">
        <w:rPr>
          <w:rFonts w:ascii="Verdana" w:eastAsia="Times New Roman" w:hAnsi="Verdana" w:cs="Times New Roman"/>
          <w:sz w:val="16"/>
          <w:szCs w:val="16"/>
          <w:lang w:eastAsia="es-AR"/>
        </w:rPr>
        <w:t>la exclusión no es inmediata. El Fisco evaluará las alícuotas impositivas aplicadas (contribuyente - agentes), para luego otorgar o no el beneficio de la atenuación.</w:t>
      </w:r>
    </w:p>
    <w:p w:rsidR="00D21749" w:rsidRPr="00D21749" w:rsidRDefault="00D21749" w:rsidP="00D21749">
      <w:pPr>
        <w:spacing w:before="80" w:after="70" w:line="240" w:lineRule="auto"/>
        <w:ind w:left="70" w:right="70" w:firstLine="70"/>
        <w:jc w:val="both"/>
        <w:rPr>
          <w:rFonts w:ascii="Verdana" w:eastAsia="Times New Roman" w:hAnsi="Verdana" w:cs="Times New Roman"/>
          <w:sz w:val="16"/>
          <w:szCs w:val="16"/>
          <w:lang w:eastAsia="es-AR"/>
        </w:rPr>
      </w:pPr>
      <w:r w:rsidRPr="00D21749">
        <w:rPr>
          <w:rFonts w:ascii="Verdana" w:eastAsia="Times New Roman" w:hAnsi="Verdana" w:cs="Times New Roman"/>
          <w:i/>
          <w:iCs/>
          <w:sz w:val="16"/>
          <w:szCs w:val="16"/>
          <w:lang w:eastAsia="es-AR"/>
        </w:rPr>
        <w:t>Evaluar:</w:t>
      </w:r>
      <w:r w:rsidRPr="00D21749">
        <w:rPr>
          <w:rFonts w:ascii="Verdana" w:eastAsia="Times New Roman" w:hAnsi="Verdana" w:cs="Times New Roman"/>
          <w:sz w:val="16"/>
          <w:szCs w:val="16"/>
          <w:lang w:eastAsia="es-AR"/>
        </w:rPr>
        <w:t xml:space="preserve"> se prevé que las solicitudes de atenuación de alícuotas podrán ser remitidas a la Dirección Análisis e Investigación dependiente de la Subdirección General de Grandes Contribuyentes y Evaluación Tributaria y a la Subdirección General de Fiscalización de la Dirección General de Rentas, para la generación del cargo de fiscalización respectivo, a los fines de verificar la situación fiscal del contribuyente con relación a la liquidación del impuesto y la procedencia de los saldos a favor invocados.</w:t>
      </w:r>
    </w:p>
    <w:p w:rsidR="00D21749" w:rsidRPr="00D21749" w:rsidRDefault="00D21749" w:rsidP="00D21749">
      <w:pPr>
        <w:spacing w:before="80" w:after="70" w:line="240" w:lineRule="auto"/>
        <w:ind w:left="70" w:right="70" w:firstLine="70"/>
        <w:jc w:val="both"/>
        <w:rPr>
          <w:rFonts w:ascii="Verdana" w:eastAsia="Times New Roman" w:hAnsi="Verdana" w:cs="Times New Roman"/>
          <w:sz w:val="16"/>
          <w:szCs w:val="16"/>
          <w:lang w:eastAsia="es-AR"/>
        </w:rPr>
      </w:pPr>
      <w:r w:rsidRPr="00D21749">
        <w:rPr>
          <w:rFonts w:ascii="Verdana" w:eastAsia="Times New Roman" w:hAnsi="Verdana" w:cs="Times New Roman"/>
          <w:i/>
          <w:iCs/>
          <w:sz w:val="16"/>
          <w:szCs w:val="16"/>
          <w:lang w:eastAsia="es-AR"/>
        </w:rPr>
        <w:t>Atenuación:</w:t>
      </w:r>
      <w:r w:rsidRPr="00D21749">
        <w:rPr>
          <w:rFonts w:ascii="Verdana" w:eastAsia="Times New Roman" w:hAnsi="Verdana" w:cs="Times New Roman"/>
          <w:sz w:val="16"/>
          <w:szCs w:val="16"/>
          <w:lang w:eastAsia="es-AR"/>
        </w:rPr>
        <w:t xml:space="preserve"> denotamos que no se prevé la exclusión. Y con ello advertimos sobre la imposibilidad de utilizar el saldo a favor acumulado del impuesto.</w:t>
      </w:r>
    </w:p>
    <w:p w:rsidR="00D21749" w:rsidRPr="00D21749" w:rsidRDefault="00D21749" w:rsidP="00D21749">
      <w:pPr>
        <w:spacing w:before="120" w:after="70" w:line="240" w:lineRule="auto"/>
        <w:ind w:left="70" w:right="70"/>
        <w:jc w:val="both"/>
        <w:rPr>
          <w:rFonts w:ascii="Verdana" w:eastAsia="Times New Roman" w:hAnsi="Verdana" w:cs="Times New Roman"/>
          <w:sz w:val="16"/>
          <w:szCs w:val="16"/>
          <w:lang w:eastAsia="es-AR"/>
        </w:rPr>
      </w:pPr>
      <w:r w:rsidRPr="00D21749">
        <w:rPr>
          <w:rFonts w:ascii="Verdana" w:eastAsia="Times New Roman" w:hAnsi="Verdana" w:cs="Times New Roman"/>
          <w:b/>
          <w:bCs/>
          <w:sz w:val="16"/>
          <w:szCs w:val="16"/>
          <w:lang w:eastAsia="es-AR"/>
        </w:rPr>
        <w:t>c) P.:</w:t>
      </w:r>
      <w:r w:rsidRPr="00D21749">
        <w:rPr>
          <w:rFonts w:ascii="Verdana" w:eastAsia="Times New Roman" w:hAnsi="Verdana" w:cs="Times New Roman"/>
          <w:sz w:val="16"/>
          <w:szCs w:val="16"/>
          <w:lang w:eastAsia="es-AR"/>
        </w:rPr>
        <w:t xml:space="preserve"> En el nuevo sistema de atenuación de recaudaciones, ¿resultan comprendidos todos los regímenes de percepción?</w:t>
      </w:r>
    </w:p>
    <w:p w:rsidR="00D21749" w:rsidRPr="00D21749" w:rsidRDefault="00D21749" w:rsidP="00D21749">
      <w:pPr>
        <w:spacing w:before="120" w:after="70" w:line="240" w:lineRule="auto"/>
        <w:ind w:left="70" w:right="70"/>
        <w:jc w:val="both"/>
        <w:rPr>
          <w:rFonts w:ascii="Verdana" w:eastAsia="Times New Roman" w:hAnsi="Verdana" w:cs="Times New Roman"/>
          <w:sz w:val="16"/>
          <w:szCs w:val="16"/>
          <w:lang w:eastAsia="es-AR"/>
        </w:rPr>
      </w:pPr>
      <w:r w:rsidRPr="00D21749">
        <w:rPr>
          <w:rFonts w:ascii="Verdana" w:eastAsia="Times New Roman" w:hAnsi="Verdana" w:cs="Times New Roman"/>
          <w:b/>
          <w:bCs/>
          <w:sz w:val="16"/>
          <w:szCs w:val="16"/>
          <w:lang w:eastAsia="es-AR"/>
        </w:rPr>
        <w:t>c) R.:</w:t>
      </w:r>
      <w:r w:rsidRPr="00D21749">
        <w:rPr>
          <w:rFonts w:ascii="Verdana" w:eastAsia="Times New Roman" w:hAnsi="Verdana" w:cs="Times New Roman"/>
          <w:sz w:val="16"/>
          <w:szCs w:val="16"/>
          <w:lang w:eastAsia="es-AR"/>
        </w:rPr>
        <w:t xml:space="preserve"> Se excluye del presente mecanismo de atenuación al Sistema de Recaudación sobre Operaciones de Importación Definitiva a Consumo de Mercaderías (</w:t>
      </w:r>
      <w:proofErr w:type="spellStart"/>
      <w:r w:rsidRPr="00D21749">
        <w:rPr>
          <w:rFonts w:ascii="Verdana" w:eastAsia="Times New Roman" w:hAnsi="Verdana" w:cs="Times New Roman"/>
          <w:sz w:val="16"/>
          <w:szCs w:val="16"/>
          <w:lang w:eastAsia="es-AR"/>
        </w:rPr>
        <w:t>SIRPEI</w:t>
      </w:r>
      <w:proofErr w:type="spellEnd"/>
      <w:r w:rsidRPr="00D21749">
        <w:rPr>
          <w:rFonts w:ascii="Verdana" w:eastAsia="Times New Roman" w:hAnsi="Verdana" w:cs="Times New Roman"/>
          <w:sz w:val="16"/>
          <w:szCs w:val="16"/>
          <w:lang w:eastAsia="es-AR"/>
        </w:rPr>
        <w:t>).</w:t>
      </w:r>
    </w:p>
    <w:p w:rsidR="00D21749" w:rsidRPr="00D21749" w:rsidRDefault="00D21749" w:rsidP="00D21749">
      <w:pPr>
        <w:spacing w:before="120" w:after="70" w:line="240" w:lineRule="auto"/>
        <w:ind w:left="70" w:right="70"/>
        <w:jc w:val="both"/>
        <w:rPr>
          <w:rFonts w:ascii="Verdana" w:eastAsia="Times New Roman" w:hAnsi="Verdana" w:cs="Times New Roman"/>
          <w:sz w:val="16"/>
          <w:szCs w:val="16"/>
          <w:lang w:eastAsia="es-AR"/>
        </w:rPr>
      </w:pPr>
      <w:r w:rsidRPr="00D21749">
        <w:rPr>
          <w:rFonts w:ascii="Verdana" w:eastAsia="Times New Roman" w:hAnsi="Verdana" w:cs="Times New Roman"/>
          <w:b/>
          <w:bCs/>
          <w:sz w:val="16"/>
          <w:szCs w:val="16"/>
          <w:lang w:eastAsia="es-AR"/>
        </w:rPr>
        <w:t>d) P.:</w:t>
      </w:r>
      <w:r w:rsidRPr="00D21749">
        <w:rPr>
          <w:rFonts w:ascii="Verdana" w:eastAsia="Times New Roman" w:hAnsi="Verdana" w:cs="Times New Roman"/>
          <w:sz w:val="16"/>
          <w:szCs w:val="16"/>
          <w:lang w:eastAsia="es-AR"/>
        </w:rPr>
        <w:t xml:space="preserve"> ¿En qué consiste el mecanismo de atenuación de recaudaciones?</w:t>
      </w:r>
    </w:p>
    <w:p w:rsidR="00D21749" w:rsidRPr="00D21749" w:rsidRDefault="00D21749" w:rsidP="00D21749">
      <w:pPr>
        <w:spacing w:before="120" w:after="70" w:line="240" w:lineRule="auto"/>
        <w:ind w:left="70" w:right="70"/>
        <w:jc w:val="both"/>
        <w:rPr>
          <w:rFonts w:ascii="Verdana" w:eastAsia="Times New Roman" w:hAnsi="Verdana" w:cs="Times New Roman"/>
          <w:sz w:val="16"/>
          <w:szCs w:val="16"/>
          <w:lang w:eastAsia="es-AR"/>
        </w:rPr>
      </w:pPr>
      <w:r w:rsidRPr="00D21749">
        <w:rPr>
          <w:rFonts w:ascii="Verdana" w:eastAsia="Times New Roman" w:hAnsi="Verdana" w:cs="Times New Roman"/>
          <w:b/>
          <w:bCs/>
          <w:sz w:val="16"/>
          <w:szCs w:val="16"/>
          <w:lang w:eastAsia="es-AR"/>
        </w:rPr>
        <w:t>d) R.:</w:t>
      </w:r>
      <w:r w:rsidRPr="00D21749">
        <w:rPr>
          <w:rFonts w:ascii="Verdana" w:eastAsia="Times New Roman" w:hAnsi="Verdana" w:cs="Times New Roman"/>
          <w:sz w:val="16"/>
          <w:szCs w:val="16"/>
          <w:lang w:eastAsia="es-AR"/>
        </w:rPr>
        <w:t xml:space="preserve"> Los contribuyentes deberán efectuar una presentación (a través de la web de Rentas/Trámites online/Otros Trámites/Atenuación Alícuotas de Retención-Percepción) detallando la actividad principal y/o secundaria desarrollada y la incidencia de los regímenes de retención y/o percepción generadores del permanente saldo a favor.</w:t>
      </w:r>
    </w:p>
    <w:p w:rsidR="00D21749" w:rsidRPr="00D21749" w:rsidRDefault="00D21749" w:rsidP="00D21749">
      <w:pPr>
        <w:spacing w:before="80" w:after="70" w:line="240" w:lineRule="auto"/>
        <w:ind w:left="70" w:right="70" w:firstLine="70"/>
        <w:jc w:val="both"/>
        <w:rPr>
          <w:rFonts w:ascii="Verdana" w:eastAsia="Times New Roman" w:hAnsi="Verdana" w:cs="Times New Roman"/>
          <w:sz w:val="16"/>
          <w:szCs w:val="16"/>
          <w:lang w:eastAsia="es-AR"/>
        </w:rPr>
      </w:pPr>
      <w:r w:rsidRPr="00D21749">
        <w:rPr>
          <w:rFonts w:ascii="Verdana" w:eastAsia="Times New Roman" w:hAnsi="Verdana" w:cs="Times New Roman"/>
          <w:sz w:val="16"/>
          <w:szCs w:val="16"/>
          <w:lang w:eastAsia="es-AR"/>
        </w:rPr>
        <w:t>Requisitos:</w:t>
      </w:r>
    </w:p>
    <w:p w:rsidR="00D21749" w:rsidRPr="00D21749" w:rsidRDefault="00D21749" w:rsidP="00D21749">
      <w:pPr>
        <w:spacing w:before="80" w:after="70" w:line="240" w:lineRule="auto"/>
        <w:ind w:left="180" w:right="70"/>
        <w:jc w:val="both"/>
        <w:rPr>
          <w:rFonts w:ascii="Verdana" w:eastAsia="Times New Roman" w:hAnsi="Verdana" w:cs="Times New Roman"/>
          <w:sz w:val="16"/>
          <w:szCs w:val="16"/>
          <w:lang w:eastAsia="es-AR"/>
        </w:rPr>
      </w:pPr>
      <w:r w:rsidRPr="00D21749">
        <w:rPr>
          <w:rFonts w:ascii="Verdana" w:eastAsia="Times New Roman" w:hAnsi="Verdana" w:cs="Times New Roman"/>
          <w:sz w:val="16"/>
          <w:szCs w:val="16"/>
          <w:lang w:eastAsia="es-AR"/>
        </w:rPr>
        <w:t>1. El saldo a favor generado -en los últimos 6 (seis) meses- debe ser igual o mayor a 2 (dos) veces al promedio del impuesto determinado, por los 6 (seis) anticipos declarados anteriores a la presentación.</w:t>
      </w:r>
    </w:p>
    <w:p w:rsidR="00D21749" w:rsidRPr="00D21749" w:rsidRDefault="00D21749" w:rsidP="00D21749">
      <w:pPr>
        <w:spacing w:before="80" w:after="70" w:line="240" w:lineRule="auto"/>
        <w:ind w:left="180" w:right="70"/>
        <w:jc w:val="both"/>
        <w:rPr>
          <w:rFonts w:ascii="Verdana" w:eastAsia="Times New Roman" w:hAnsi="Verdana" w:cs="Times New Roman"/>
          <w:sz w:val="16"/>
          <w:szCs w:val="16"/>
          <w:lang w:eastAsia="es-AR"/>
        </w:rPr>
      </w:pPr>
      <w:r w:rsidRPr="00D21749">
        <w:rPr>
          <w:rFonts w:ascii="Verdana" w:eastAsia="Times New Roman" w:hAnsi="Verdana" w:cs="Times New Roman"/>
          <w:sz w:val="16"/>
          <w:szCs w:val="16"/>
          <w:lang w:eastAsia="es-AR"/>
        </w:rPr>
        <w:t>2. Acreditar la existencia del saldo a favor, originado en las retenciones/percepciones efectuadas por los agentes de recaudación, fundamentando que el saldo no podrá ser consumido en los próximos 6 (seis) meses.</w:t>
      </w:r>
    </w:p>
    <w:p w:rsidR="00D21749" w:rsidRPr="00D21749" w:rsidRDefault="00D21749" w:rsidP="00D21749">
      <w:pPr>
        <w:spacing w:before="80" w:after="70" w:line="240" w:lineRule="auto"/>
        <w:ind w:left="180" w:right="70"/>
        <w:jc w:val="both"/>
        <w:rPr>
          <w:rFonts w:ascii="Verdana" w:eastAsia="Times New Roman" w:hAnsi="Verdana" w:cs="Times New Roman"/>
          <w:sz w:val="16"/>
          <w:szCs w:val="16"/>
          <w:lang w:eastAsia="es-AR"/>
        </w:rPr>
      </w:pPr>
      <w:r w:rsidRPr="00D21749">
        <w:rPr>
          <w:rFonts w:ascii="Verdana" w:eastAsia="Times New Roman" w:hAnsi="Verdana" w:cs="Times New Roman"/>
          <w:sz w:val="16"/>
          <w:szCs w:val="16"/>
          <w:lang w:eastAsia="es-AR"/>
        </w:rPr>
        <w:t>3. Los contribuyentes que tributen por Convenio Multilateral deben aportar los papeles de trabajo que dieron origen a la determinación del Coeficiente Unificado y la evolución del mismo de los últimos 5 (cinco) años.</w:t>
      </w:r>
    </w:p>
    <w:p w:rsidR="00D21749" w:rsidRPr="00D21749" w:rsidRDefault="00D21749" w:rsidP="00D21749">
      <w:pPr>
        <w:spacing w:before="80" w:after="70" w:line="240" w:lineRule="auto"/>
        <w:ind w:left="70" w:right="70" w:firstLine="70"/>
        <w:jc w:val="both"/>
        <w:rPr>
          <w:rFonts w:ascii="Verdana" w:eastAsia="Times New Roman" w:hAnsi="Verdana" w:cs="Times New Roman"/>
          <w:sz w:val="16"/>
          <w:szCs w:val="16"/>
          <w:lang w:eastAsia="es-AR"/>
        </w:rPr>
      </w:pPr>
      <w:r w:rsidRPr="00D21749">
        <w:rPr>
          <w:rFonts w:ascii="Verdana" w:eastAsia="Times New Roman" w:hAnsi="Verdana" w:cs="Times New Roman"/>
          <w:i/>
          <w:iCs/>
          <w:sz w:val="16"/>
          <w:szCs w:val="16"/>
          <w:lang w:eastAsia="es-AR"/>
        </w:rPr>
        <w:lastRenderedPageBreak/>
        <w:t>Incumplimiento:</w:t>
      </w:r>
      <w:r w:rsidRPr="00D21749">
        <w:rPr>
          <w:rFonts w:ascii="Verdana" w:eastAsia="Times New Roman" w:hAnsi="Verdana" w:cs="Times New Roman"/>
          <w:sz w:val="16"/>
          <w:szCs w:val="16"/>
          <w:lang w:eastAsia="es-AR"/>
        </w:rPr>
        <w:t xml:space="preserve"> se prevé que el incumplimiento de alguno de los requisitos o requerimientos de esta Administración, dentro del plazo de 10 (diez) días hábiles, dará lugar a la baja automática del trámite, no pudiendo reformular el pedido dentro de los 60 días hábiles de la presentación anterior.</w:t>
      </w:r>
    </w:p>
    <w:p w:rsidR="00D21749" w:rsidRPr="00D21749" w:rsidRDefault="00D21749" w:rsidP="00D21749">
      <w:pPr>
        <w:spacing w:before="120" w:after="70" w:line="240" w:lineRule="auto"/>
        <w:ind w:left="70" w:right="70"/>
        <w:jc w:val="both"/>
        <w:rPr>
          <w:rFonts w:ascii="Verdana" w:eastAsia="Times New Roman" w:hAnsi="Verdana" w:cs="Times New Roman"/>
          <w:sz w:val="16"/>
          <w:szCs w:val="16"/>
          <w:lang w:eastAsia="es-AR"/>
        </w:rPr>
      </w:pPr>
      <w:r w:rsidRPr="00D21749">
        <w:rPr>
          <w:rFonts w:ascii="Verdana" w:eastAsia="Times New Roman" w:hAnsi="Verdana" w:cs="Times New Roman"/>
          <w:b/>
          <w:bCs/>
          <w:sz w:val="16"/>
          <w:szCs w:val="16"/>
          <w:lang w:eastAsia="es-AR"/>
        </w:rPr>
        <w:t>e) P.:</w:t>
      </w:r>
      <w:r w:rsidRPr="00D21749">
        <w:rPr>
          <w:rFonts w:ascii="Verdana" w:eastAsia="Times New Roman" w:hAnsi="Verdana" w:cs="Times New Roman"/>
          <w:sz w:val="16"/>
          <w:szCs w:val="16"/>
          <w:lang w:eastAsia="es-AR"/>
        </w:rPr>
        <w:t xml:space="preserve"> ¿Se soportan inspecciones por solicitar la exclusión de recaudaciones?</w:t>
      </w:r>
    </w:p>
    <w:p w:rsidR="00D21749" w:rsidRPr="00D21749" w:rsidRDefault="00D21749" w:rsidP="00D21749">
      <w:pPr>
        <w:spacing w:before="120" w:after="70" w:line="240" w:lineRule="auto"/>
        <w:ind w:left="70" w:right="70"/>
        <w:jc w:val="both"/>
        <w:rPr>
          <w:rFonts w:ascii="Verdana" w:eastAsia="Times New Roman" w:hAnsi="Verdana" w:cs="Times New Roman"/>
          <w:sz w:val="16"/>
          <w:szCs w:val="16"/>
          <w:lang w:eastAsia="es-AR"/>
        </w:rPr>
      </w:pPr>
      <w:r w:rsidRPr="00D21749">
        <w:rPr>
          <w:rFonts w:ascii="Verdana" w:eastAsia="Times New Roman" w:hAnsi="Verdana" w:cs="Times New Roman"/>
          <w:b/>
          <w:bCs/>
          <w:sz w:val="16"/>
          <w:szCs w:val="16"/>
          <w:lang w:eastAsia="es-AR"/>
        </w:rPr>
        <w:t>e) R.:</w:t>
      </w:r>
      <w:r w:rsidRPr="00D21749">
        <w:rPr>
          <w:rFonts w:ascii="Verdana" w:eastAsia="Times New Roman" w:hAnsi="Verdana" w:cs="Times New Roman"/>
          <w:sz w:val="16"/>
          <w:szCs w:val="16"/>
          <w:lang w:eastAsia="es-AR"/>
        </w:rPr>
        <w:t xml:space="preserve"> La norma reglamentaria anticipa que, aportada la información, la Dirección de Agentes de Recaudación e Información procederá a su evaluación, a los efectos de corroborar la situación fiscal denunciada.</w:t>
      </w:r>
    </w:p>
    <w:p w:rsidR="00D21749" w:rsidRPr="00D21749" w:rsidRDefault="00D21749" w:rsidP="00D21749">
      <w:pPr>
        <w:spacing w:before="80" w:after="70" w:line="240" w:lineRule="auto"/>
        <w:ind w:left="70" w:right="70" w:firstLine="70"/>
        <w:jc w:val="both"/>
        <w:rPr>
          <w:rFonts w:ascii="Verdana" w:eastAsia="Times New Roman" w:hAnsi="Verdana" w:cs="Times New Roman"/>
          <w:sz w:val="16"/>
          <w:szCs w:val="16"/>
          <w:lang w:eastAsia="es-AR"/>
        </w:rPr>
      </w:pPr>
      <w:r w:rsidRPr="00D21749">
        <w:rPr>
          <w:rFonts w:ascii="Verdana" w:eastAsia="Times New Roman" w:hAnsi="Verdana" w:cs="Times New Roman"/>
          <w:sz w:val="16"/>
          <w:szCs w:val="16"/>
          <w:lang w:eastAsia="es-AR"/>
        </w:rPr>
        <w:t>Asimismo, se prevé que las solicitudes de atenuación de alícuotas podrán ser remitidas a la Dirección Análisis e Investigación dependiente de la Subdirección General de Grandes Contribuyentes y Evaluación Tributaria y a la Subdirección General de Fiscalización de la Dirección General de Rentas, para la generación del cargo de fiscalización respectivo a los fines de verificar la situación fiscal del contribuyente con relación a la liquidación del impuesto y la procedencia de los saldos a favor invocados.</w:t>
      </w:r>
    </w:p>
    <w:p w:rsidR="00D21749" w:rsidRPr="00D21749" w:rsidRDefault="00D21749" w:rsidP="00D21749">
      <w:pPr>
        <w:spacing w:before="120" w:after="70" w:line="240" w:lineRule="auto"/>
        <w:ind w:left="70" w:right="70"/>
        <w:jc w:val="both"/>
        <w:rPr>
          <w:rFonts w:ascii="Verdana" w:eastAsia="Times New Roman" w:hAnsi="Verdana" w:cs="Times New Roman"/>
          <w:sz w:val="16"/>
          <w:szCs w:val="16"/>
          <w:lang w:eastAsia="es-AR"/>
        </w:rPr>
      </w:pPr>
      <w:r w:rsidRPr="00D21749">
        <w:rPr>
          <w:rFonts w:ascii="Verdana" w:eastAsia="Times New Roman" w:hAnsi="Verdana" w:cs="Times New Roman"/>
          <w:b/>
          <w:bCs/>
          <w:sz w:val="16"/>
          <w:szCs w:val="16"/>
          <w:lang w:eastAsia="es-AR"/>
        </w:rPr>
        <w:t>f) P.:</w:t>
      </w:r>
      <w:r w:rsidRPr="00D21749">
        <w:rPr>
          <w:rFonts w:ascii="Verdana" w:eastAsia="Times New Roman" w:hAnsi="Verdana" w:cs="Times New Roman"/>
          <w:sz w:val="16"/>
          <w:szCs w:val="16"/>
          <w:lang w:eastAsia="es-AR"/>
        </w:rPr>
        <w:t xml:space="preserve"> ¿Cuál es el beneficio y cómo se notifica al agente?</w:t>
      </w:r>
    </w:p>
    <w:p w:rsidR="00D21749" w:rsidRPr="00D21749" w:rsidRDefault="00D21749" w:rsidP="00D21749">
      <w:pPr>
        <w:spacing w:before="120" w:after="70" w:line="240" w:lineRule="auto"/>
        <w:ind w:left="70" w:right="70"/>
        <w:jc w:val="both"/>
        <w:rPr>
          <w:rFonts w:ascii="Verdana" w:eastAsia="Times New Roman" w:hAnsi="Verdana" w:cs="Times New Roman"/>
          <w:sz w:val="16"/>
          <w:szCs w:val="16"/>
          <w:lang w:eastAsia="es-AR"/>
        </w:rPr>
      </w:pPr>
      <w:r w:rsidRPr="00D21749">
        <w:rPr>
          <w:rFonts w:ascii="Verdana" w:eastAsia="Times New Roman" w:hAnsi="Verdana" w:cs="Times New Roman"/>
          <w:b/>
          <w:bCs/>
          <w:sz w:val="16"/>
          <w:szCs w:val="16"/>
          <w:lang w:eastAsia="es-AR"/>
        </w:rPr>
        <w:t>f) R.:</w:t>
      </w:r>
      <w:r w:rsidRPr="00D21749">
        <w:rPr>
          <w:rFonts w:ascii="Verdana" w:eastAsia="Times New Roman" w:hAnsi="Verdana" w:cs="Times New Roman"/>
          <w:sz w:val="16"/>
          <w:szCs w:val="16"/>
          <w:lang w:eastAsia="es-AR"/>
        </w:rPr>
        <w:t xml:space="preserve"> Debemos considerar que la procedencia de la solicitud implicará la reducción de todas las alícuotas aplicables de la totalidad de los regímenes de retención y/o percepción vigentes [excepto la del Sistema de Recaudación sobre Operaciones de Importación Definitiva a Consumo de Mercaderías (</w:t>
      </w:r>
      <w:proofErr w:type="spellStart"/>
      <w:r w:rsidRPr="00D21749">
        <w:rPr>
          <w:rFonts w:ascii="Verdana" w:eastAsia="Times New Roman" w:hAnsi="Verdana" w:cs="Times New Roman"/>
          <w:sz w:val="16"/>
          <w:szCs w:val="16"/>
          <w:lang w:eastAsia="es-AR"/>
        </w:rPr>
        <w:t>SIRPEI</w:t>
      </w:r>
      <w:proofErr w:type="spellEnd"/>
      <w:r w:rsidRPr="00D21749">
        <w:rPr>
          <w:rFonts w:ascii="Verdana" w:eastAsia="Times New Roman" w:hAnsi="Verdana" w:cs="Times New Roman"/>
          <w:sz w:val="16"/>
          <w:szCs w:val="16"/>
          <w:lang w:eastAsia="es-AR"/>
        </w:rPr>
        <w:t xml:space="preserve">)], donde se incorpora al contribuyente beneficiado en el Padrón de Contribuyentes con Alícuotas Diferenciales. A los que se les asignarán alícuotas morigeradas. </w:t>
      </w:r>
    </w:p>
    <w:p w:rsidR="00D21749" w:rsidRPr="00D21749" w:rsidRDefault="00D21749" w:rsidP="00D21749">
      <w:pPr>
        <w:spacing w:before="80" w:after="70" w:line="240" w:lineRule="auto"/>
        <w:ind w:left="70" w:right="70" w:firstLine="70"/>
        <w:jc w:val="both"/>
        <w:rPr>
          <w:rFonts w:ascii="Verdana" w:eastAsia="Times New Roman" w:hAnsi="Verdana" w:cs="Times New Roman"/>
          <w:sz w:val="16"/>
          <w:szCs w:val="16"/>
          <w:lang w:eastAsia="es-AR"/>
        </w:rPr>
      </w:pPr>
      <w:r w:rsidRPr="00D21749">
        <w:rPr>
          <w:rFonts w:ascii="Verdana" w:eastAsia="Times New Roman" w:hAnsi="Verdana" w:cs="Times New Roman"/>
          <w:sz w:val="16"/>
          <w:szCs w:val="16"/>
          <w:lang w:eastAsia="es-AR"/>
        </w:rPr>
        <w:t>Resulta obligación del agente de recaudación considerar las alícuotas establecidas por el padrón, en lugar de las alícuotas generales de recaudación.</w:t>
      </w:r>
    </w:p>
    <w:p w:rsidR="00D21749" w:rsidRPr="00D21749" w:rsidRDefault="00D21749" w:rsidP="00D21749">
      <w:pPr>
        <w:spacing w:before="80" w:after="70" w:line="240" w:lineRule="auto"/>
        <w:ind w:left="70" w:right="70" w:firstLine="70"/>
        <w:jc w:val="both"/>
        <w:rPr>
          <w:rFonts w:ascii="Verdana" w:eastAsia="Times New Roman" w:hAnsi="Verdana" w:cs="Times New Roman"/>
          <w:sz w:val="16"/>
          <w:szCs w:val="16"/>
          <w:lang w:eastAsia="es-AR"/>
        </w:rPr>
      </w:pPr>
      <w:r w:rsidRPr="00D21749">
        <w:rPr>
          <w:rFonts w:ascii="Verdana" w:eastAsia="Times New Roman" w:hAnsi="Verdana" w:cs="Times New Roman"/>
          <w:sz w:val="16"/>
          <w:szCs w:val="16"/>
          <w:lang w:eastAsia="es-AR"/>
        </w:rPr>
        <w:t>Asimismo, debemos tener en cuenta:</w:t>
      </w:r>
    </w:p>
    <w:p w:rsidR="00D21749" w:rsidRPr="00D21749" w:rsidRDefault="00D21749" w:rsidP="00D21749">
      <w:pPr>
        <w:spacing w:before="80" w:after="70" w:line="240" w:lineRule="auto"/>
        <w:ind w:left="180" w:right="70"/>
        <w:jc w:val="both"/>
        <w:rPr>
          <w:rFonts w:ascii="Verdana" w:eastAsia="Times New Roman" w:hAnsi="Verdana" w:cs="Times New Roman"/>
          <w:sz w:val="16"/>
          <w:szCs w:val="16"/>
          <w:lang w:eastAsia="es-AR"/>
        </w:rPr>
      </w:pPr>
      <w:r w:rsidRPr="00D21749">
        <w:rPr>
          <w:rFonts w:ascii="Verdana" w:eastAsia="Times New Roman" w:hAnsi="Verdana" w:cs="Times New Roman"/>
          <w:i/>
          <w:iCs/>
          <w:sz w:val="16"/>
          <w:szCs w:val="16"/>
          <w:lang w:eastAsia="es-AR"/>
        </w:rPr>
        <w:t>* Vigencia del reconocimiento:</w:t>
      </w:r>
      <w:r w:rsidRPr="00D21749">
        <w:rPr>
          <w:rFonts w:ascii="Verdana" w:eastAsia="Times New Roman" w:hAnsi="Verdana" w:cs="Times New Roman"/>
          <w:sz w:val="16"/>
          <w:szCs w:val="16"/>
          <w:lang w:eastAsia="es-AR"/>
        </w:rPr>
        <w:t xml:space="preserve"> se prevé que la atenuación de alícuotas se extenderá por un plazo máximo de 6 (seis) meses, o 2 (dos) trimestres calendarios, siempre que se mantenga la situación fiscal que da lugar a la aplicación del reconocimiento. </w:t>
      </w:r>
    </w:p>
    <w:p w:rsidR="00D21749" w:rsidRDefault="00D21749" w:rsidP="00D21749">
      <w:pPr>
        <w:spacing w:before="80" w:after="70" w:line="240" w:lineRule="auto"/>
        <w:ind w:left="180" w:right="70"/>
        <w:jc w:val="both"/>
        <w:rPr>
          <w:rFonts w:ascii="Verdana" w:eastAsia="Times New Roman" w:hAnsi="Verdana" w:cs="Times New Roman"/>
          <w:sz w:val="16"/>
          <w:szCs w:val="16"/>
          <w:lang w:eastAsia="es-AR"/>
        </w:rPr>
      </w:pPr>
      <w:r w:rsidRPr="00D21749">
        <w:rPr>
          <w:rFonts w:ascii="Verdana" w:eastAsia="Times New Roman" w:hAnsi="Verdana" w:cs="Times New Roman"/>
          <w:i/>
          <w:iCs/>
          <w:sz w:val="16"/>
          <w:szCs w:val="16"/>
          <w:lang w:eastAsia="es-AR"/>
        </w:rPr>
        <w:t>* Padrones de Contribuyentes. Actualización:</w:t>
      </w:r>
      <w:r w:rsidRPr="00D21749">
        <w:rPr>
          <w:rFonts w:ascii="Verdana" w:eastAsia="Times New Roman" w:hAnsi="Verdana" w:cs="Times New Roman"/>
          <w:sz w:val="16"/>
          <w:szCs w:val="16"/>
          <w:lang w:eastAsia="es-AR"/>
        </w:rPr>
        <w:t xml:space="preserve"> se establece que la nómina de contribuyentes reconocidos, con alícuotas menores a las previstas por los regímenes de recaudación, será actualizada por trimestre calendario y estará a disposición de los contribuyentes y agentes de recaudación en la página web de la Administración Gubernamental de Ingresos Públicos “www.agip.gob.ar”, con una antelación de 3 (tres) días hábiles a su vigencia, el que será de aplicación solo en aquellas solicitudes que hubieran sido aceptadas, debiendo los contribuyentes o responsables aguardar hasta la finalización del mismo para cualquier modificación del padrón en cuestión.</w:t>
      </w:r>
    </w:p>
    <w:p w:rsidR="00076527" w:rsidRDefault="00076527" w:rsidP="00D21749">
      <w:pPr>
        <w:spacing w:before="80" w:after="70" w:line="240" w:lineRule="auto"/>
        <w:ind w:left="180" w:right="70"/>
        <w:jc w:val="both"/>
        <w:rPr>
          <w:rFonts w:ascii="Verdana" w:eastAsia="Times New Roman" w:hAnsi="Verdana" w:cs="Times New Roman"/>
          <w:sz w:val="16"/>
          <w:szCs w:val="16"/>
          <w:lang w:eastAsia="es-AR"/>
        </w:rPr>
      </w:pPr>
    </w:p>
    <w:p w:rsidR="00076527" w:rsidRPr="00076527" w:rsidRDefault="00076527" w:rsidP="00076527">
      <w:pPr>
        <w:pBdr>
          <w:top w:val="single" w:sz="4" w:space="0" w:color="000000"/>
        </w:pBdr>
        <w:spacing w:before="200" w:after="0" w:line="240" w:lineRule="auto"/>
        <w:ind w:left="70" w:right="70"/>
        <w:rPr>
          <w:rFonts w:ascii="Verdana" w:eastAsia="Times New Roman" w:hAnsi="Verdana" w:cs="Times New Roman"/>
          <w:b/>
          <w:bCs/>
          <w:lang w:eastAsia="es-AR"/>
        </w:rPr>
      </w:pPr>
      <w:r w:rsidRPr="00076527">
        <w:rPr>
          <w:rFonts w:ascii="Verdana" w:eastAsia="Times New Roman" w:hAnsi="Verdana" w:cs="Times New Roman"/>
          <w:b/>
          <w:bCs/>
          <w:lang w:eastAsia="es-AR"/>
        </w:rPr>
        <w:t>Legislación: RESOLUCIÓN (</w:t>
      </w:r>
      <w:proofErr w:type="spellStart"/>
      <w:r w:rsidRPr="00076527">
        <w:rPr>
          <w:rFonts w:ascii="Verdana" w:eastAsia="Times New Roman" w:hAnsi="Verdana" w:cs="Times New Roman"/>
          <w:b/>
          <w:bCs/>
          <w:lang w:eastAsia="es-AR"/>
        </w:rPr>
        <w:t>AGIP</w:t>
      </w:r>
      <w:proofErr w:type="spellEnd"/>
      <w:r w:rsidRPr="00076527">
        <w:rPr>
          <w:rFonts w:ascii="Verdana" w:eastAsia="Times New Roman" w:hAnsi="Verdana" w:cs="Times New Roman"/>
          <w:b/>
          <w:bCs/>
          <w:lang w:eastAsia="es-AR"/>
        </w:rPr>
        <w:t xml:space="preserve"> Bs. As. </w:t>
      </w:r>
      <w:proofErr w:type="spellStart"/>
      <w:r w:rsidRPr="00076527">
        <w:rPr>
          <w:rFonts w:ascii="Verdana" w:eastAsia="Times New Roman" w:hAnsi="Verdana" w:cs="Times New Roman"/>
          <w:b/>
          <w:bCs/>
          <w:lang w:eastAsia="es-AR"/>
        </w:rPr>
        <w:t>cdad</w:t>
      </w:r>
      <w:proofErr w:type="spellEnd"/>
      <w:r w:rsidRPr="00076527">
        <w:rPr>
          <w:rFonts w:ascii="Verdana" w:eastAsia="Times New Roman" w:hAnsi="Verdana" w:cs="Times New Roman"/>
          <w:b/>
          <w:bCs/>
          <w:lang w:eastAsia="es-AR"/>
        </w:rPr>
        <w:t xml:space="preserve">.) 816/2014 </w:t>
      </w:r>
    </w:p>
    <w:p w:rsidR="00076527" w:rsidRPr="00076527" w:rsidRDefault="00076527" w:rsidP="00076527">
      <w:pPr>
        <w:spacing w:before="100" w:after="120" w:line="240" w:lineRule="auto"/>
        <w:ind w:left="70" w:right="70"/>
        <w:jc w:val="both"/>
        <w:rPr>
          <w:rFonts w:ascii="Verdana" w:eastAsia="Times New Roman" w:hAnsi="Verdana" w:cs="Times New Roman"/>
          <w:b/>
          <w:bCs/>
          <w:sz w:val="20"/>
          <w:szCs w:val="20"/>
          <w:lang w:eastAsia="es-AR"/>
        </w:rPr>
      </w:pPr>
      <w:r w:rsidRPr="00076527">
        <w:rPr>
          <w:rFonts w:ascii="Verdana" w:eastAsia="Times New Roman" w:hAnsi="Verdana" w:cs="Times New Roman"/>
          <w:b/>
          <w:bCs/>
          <w:sz w:val="20"/>
          <w:szCs w:val="20"/>
          <w:lang w:eastAsia="es-AR"/>
        </w:rPr>
        <w:t>Ingresos brutos. Regímenes de recaudación. Atenuación de alícuotas. Procedimiento</w:t>
      </w:r>
    </w:p>
    <w:p w:rsidR="00076527" w:rsidRPr="00076527" w:rsidRDefault="00076527" w:rsidP="00076527">
      <w:pPr>
        <w:spacing w:before="80" w:after="0" w:line="240" w:lineRule="auto"/>
        <w:ind w:left="70" w:right="70" w:firstLine="70"/>
        <w:jc w:val="both"/>
        <w:rPr>
          <w:rFonts w:ascii="Verdana" w:eastAsia="Times New Roman" w:hAnsi="Verdana" w:cs="Times New Roman"/>
          <w:sz w:val="16"/>
          <w:szCs w:val="16"/>
          <w:lang w:eastAsia="es-AR"/>
        </w:rPr>
      </w:pPr>
      <w:r w:rsidRPr="00076527">
        <w:rPr>
          <w:rFonts w:ascii="Verdana" w:eastAsia="Times New Roman" w:hAnsi="Verdana" w:cs="Times New Roman"/>
          <w:b/>
          <w:bCs/>
          <w:sz w:val="16"/>
          <w:szCs w:val="16"/>
          <w:lang w:eastAsia="es-AR"/>
        </w:rPr>
        <w:t xml:space="preserve">Art. 1 </w:t>
      </w:r>
      <w:r w:rsidRPr="00076527">
        <w:rPr>
          <w:rFonts w:ascii="Verdana" w:eastAsia="Times New Roman" w:hAnsi="Verdana" w:cs="Times New Roman"/>
          <w:sz w:val="16"/>
          <w:szCs w:val="16"/>
          <w:lang w:eastAsia="es-AR"/>
        </w:rPr>
        <w:t>- Los contribuyentes del impuesto sobre los ingresos brutos que acrediten la generación permanente de saldos a favor como resultado de la aplicación de regímenes de recaudación vigentes, podrán solicitar ante este Organismo la evaluación de las alícuotas establecidas con el objeto de atenuar las mismas.</w:t>
      </w:r>
    </w:p>
    <w:p w:rsidR="00076527" w:rsidRPr="00076527" w:rsidRDefault="00076527" w:rsidP="00076527">
      <w:pPr>
        <w:spacing w:before="80" w:after="0" w:line="240" w:lineRule="auto"/>
        <w:ind w:left="70" w:right="70" w:firstLine="70"/>
        <w:jc w:val="both"/>
        <w:rPr>
          <w:rFonts w:ascii="Verdana" w:eastAsia="Times New Roman" w:hAnsi="Verdana" w:cs="Times New Roman"/>
          <w:sz w:val="16"/>
          <w:szCs w:val="16"/>
          <w:lang w:eastAsia="es-AR"/>
        </w:rPr>
      </w:pPr>
      <w:r w:rsidRPr="00076527">
        <w:rPr>
          <w:rFonts w:ascii="Verdana" w:eastAsia="Times New Roman" w:hAnsi="Verdana" w:cs="Times New Roman"/>
          <w:sz w:val="16"/>
          <w:szCs w:val="16"/>
          <w:lang w:eastAsia="es-AR"/>
        </w:rPr>
        <w:t>Se excluye del presente mecanismo la aplicación del Sistema de Recaudación sobre Operaciones de Importación Definitiva a Consumo de Mercaderías (</w:t>
      </w:r>
      <w:proofErr w:type="spellStart"/>
      <w:r w:rsidRPr="00076527">
        <w:rPr>
          <w:rFonts w:ascii="Verdana" w:eastAsia="Times New Roman" w:hAnsi="Verdana" w:cs="Times New Roman"/>
          <w:sz w:val="16"/>
          <w:szCs w:val="16"/>
          <w:lang w:eastAsia="es-AR"/>
        </w:rPr>
        <w:t>SIRPEI</w:t>
      </w:r>
      <w:proofErr w:type="spellEnd"/>
      <w:r w:rsidRPr="00076527">
        <w:rPr>
          <w:rFonts w:ascii="Verdana" w:eastAsia="Times New Roman" w:hAnsi="Verdana" w:cs="Times New Roman"/>
          <w:sz w:val="16"/>
          <w:szCs w:val="16"/>
          <w:lang w:eastAsia="es-AR"/>
        </w:rPr>
        <w:t>).</w:t>
      </w:r>
    </w:p>
    <w:p w:rsidR="00076527" w:rsidRPr="00076527" w:rsidRDefault="00076527" w:rsidP="00076527">
      <w:pPr>
        <w:spacing w:before="80" w:after="0" w:line="240" w:lineRule="auto"/>
        <w:ind w:left="70" w:right="70" w:firstLine="70"/>
        <w:jc w:val="both"/>
        <w:rPr>
          <w:rFonts w:ascii="Verdana" w:eastAsia="Times New Roman" w:hAnsi="Verdana" w:cs="Times New Roman"/>
          <w:sz w:val="16"/>
          <w:szCs w:val="16"/>
          <w:lang w:eastAsia="es-AR"/>
        </w:rPr>
      </w:pPr>
      <w:r w:rsidRPr="00076527">
        <w:rPr>
          <w:rFonts w:ascii="Verdana" w:eastAsia="Times New Roman" w:hAnsi="Verdana" w:cs="Times New Roman"/>
          <w:b/>
          <w:bCs/>
          <w:sz w:val="16"/>
          <w:szCs w:val="16"/>
          <w:lang w:eastAsia="es-AR"/>
        </w:rPr>
        <w:t xml:space="preserve">Art. 2 </w:t>
      </w:r>
      <w:r w:rsidRPr="00076527">
        <w:rPr>
          <w:rFonts w:ascii="Verdana" w:eastAsia="Times New Roman" w:hAnsi="Verdana" w:cs="Times New Roman"/>
          <w:sz w:val="16"/>
          <w:szCs w:val="16"/>
          <w:lang w:eastAsia="es-AR"/>
        </w:rPr>
        <w:t>- En el supuesto que las alícuotas aplicadas por el Sistema de Agentes de Retención y/o Percepción le genere a los contribuyentes saldos a favor permanentes, la Dirección General de Rentas podrá incorporarlos al padrón que se crea como "Padrón de Contribuyentes Exentos, de Actividades Promovidas, de Nuevos Emprendimientos y con Alícuotas Diferenciales", estableciendo las alícuotas morigeradas del 0% (cero por ciento), 0,50% (cero con cincuenta por ciento) o 1,50% (uno con cincuenta por ciento), según corresponda.</w:t>
      </w:r>
    </w:p>
    <w:p w:rsidR="00076527" w:rsidRPr="00076527" w:rsidRDefault="00076527" w:rsidP="00076527">
      <w:pPr>
        <w:spacing w:before="80" w:after="0" w:line="240" w:lineRule="auto"/>
        <w:ind w:left="70" w:right="70" w:firstLine="70"/>
        <w:jc w:val="both"/>
        <w:rPr>
          <w:rFonts w:ascii="Verdana" w:eastAsia="Times New Roman" w:hAnsi="Verdana" w:cs="Times New Roman"/>
          <w:sz w:val="16"/>
          <w:szCs w:val="16"/>
          <w:lang w:eastAsia="es-AR"/>
        </w:rPr>
      </w:pPr>
      <w:r w:rsidRPr="00076527">
        <w:rPr>
          <w:rFonts w:ascii="Verdana" w:eastAsia="Times New Roman" w:hAnsi="Verdana" w:cs="Times New Roman"/>
          <w:b/>
          <w:bCs/>
          <w:sz w:val="16"/>
          <w:szCs w:val="16"/>
          <w:lang w:eastAsia="es-AR"/>
        </w:rPr>
        <w:t xml:space="preserve">Art. 3 </w:t>
      </w:r>
      <w:r w:rsidRPr="00076527">
        <w:rPr>
          <w:rFonts w:ascii="Verdana" w:eastAsia="Times New Roman" w:hAnsi="Verdana" w:cs="Times New Roman"/>
          <w:sz w:val="16"/>
          <w:szCs w:val="16"/>
          <w:lang w:eastAsia="es-AR"/>
        </w:rPr>
        <w:t xml:space="preserve">- A los efectos de requerir ante el Organismo la evaluación de las alícuotas de retención/percepción diferenciales por generación de saldos a favor permanentes, los contribuyentes deberán efectuar una presentación, detallando la actividad principal y/o secundaria desarrollada y la incidencia de los regímenes de retención y/o percepción generadores del mismo. Asimismo deberá cumplimentar los requisitos que a continuación se detallan en la Web del Organismo accediendo a "Trámites </w:t>
      </w:r>
      <w:proofErr w:type="spellStart"/>
      <w:r w:rsidRPr="00076527">
        <w:rPr>
          <w:rFonts w:ascii="Verdana" w:eastAsia="Times New Roman" w:hAnsi="Verdana" w:cs="Times New Roman"/>
          <w:sz w:val="16"/>
          <w:szCs w:val="16"/>
          <w:lang w:eastAsia="es-AR"/>
        </w:rPr>
        <w:t>On</w:t>
      </w:r>
      <w:proofErr w:type="spellEnd"/>
      <w:r w:rsidRPr="00076527">
        <w:rPr>
          <w:rFonts w:ascii="Verdana" w:eastAsia="Times New Roman" w:hAnsi="Verdana" w:cs="Times New Roman"/>
          <w:sz w:val="16"/>
          <w:szCs w:val="16"/>
          <w:lang w:eastAsia="es-AR"/>
        </w:rPr>
        <w:t>-Line / Otros Trámites / Atenuación Alícuotas de Retención-Percepción".</w:t>
      </w:r>
    </w:p>
    <w:p w:rsidR="00076527" w:rsidRPr="00076527" w:rsidRDefault="00076527" w:rsidP="00076527">
      <w:pPr>
        <w:spacing w:before="80" w:after="0" w:line="240" w:lineRule="auto"/>
        <w:ind w:left="180" w:right="70"/>
        <w:jc w:val="both"/>
        <w:rPr>
          <w:rFonts w:ascii="Verdana" w:eastAsia="Times New Roman" w:hAnsi="Verdana" w:cs="Times New Roman"/>
          <w:sz w:val="16"/>
          <w:szCs w:val="16"/>
          <w:lang w:eastAsia="es-AR"/>
        </w:rPr>
      </w:pPr>
      <w:r w:rsidRPr="00076527">
        <w:rPr>
          <w:rFonts w:ascii="Verdana" w:eastAsia="Times New Roman" w:hAnsi="Verdana" w:cs="Times New Roman"/>
          <w:sz w:val="16"/>
          <w:szCs w:val="16"/>
          <w:lang w:eastAsia="es-AR"/>
        </w:rPr>
        <w:t>1. El saldo a favor generado no puede ser inferior a 2 (dos) veces el impuesto determinado promedio de los 6 (seis) anticipos declarados anteriores a la presentación.</w:t>
      </w:r>
    </w:p>
    <w:p w:rsidR="00076527" w:rsidRPr="00076527" w:rsidRDefault="00076527" w:rsidP="00076527">
      <w:pPr>
        <w:spacing w:before="80" w:after="0" w:line="240" w:lineRule="auto"/>
        <w:ind w:left="180" w:right="70"/>
        <w:jc w:val="both"/>
        <w:rPr>
          <w:rFonts w:ascii="Verdana" w:eastAsia="Times New Roman" w:hAnsi="Verdana" w:cs="Times New Roman"/>
          <w:sz w:val="16"/>
          <w:szCs w:val="16"/>
          <w:lang w:eastAsia="es-AR"/>
        </w:rPr>
      </w:pPr>
      <w:r w:rsidRPr="00076527">
        <w:rPr>
          <w:rFonts w:ascii="Verdana" w:eastAsia="Times New Roman" w:hAnsi="Verdana" w:cs="Times New Roman"/>
          <w:sz w:val="16"/>
          <w:szCs w:val="16"/>
          <w:lang w:eastAsia="es-AR"/>
        </w:rPr>
        <w:lastRenderedPageBreak/>
        <w:t>2. Acreditar la existencia del saldo a favor, originado en las retenciones/percepciones efectuadas por los agentes de recaudación, fundamentando que el saldo no podrá ser consumido en los próximos 6 (seis) meses.</w:t>
      </w:r>
    </w:p>
    <w:p w:rsidR="00076527" w:rsidRPr="00076527" w:rsidRDefault="00076527" w:rsidP="00076527">
      <w:pPr>
        <w:spacing w:before="80" w:after="0" w:line="240" w:lineRule="auto"/>
        <w:ind w:left="180" w:right="70"/>
        <w:jc w:val="both"/>
        <w:rPr>
          <w:rFonts w:ascii="Verdana" w:eastAsia="Times New Roman" w:hAnsi="Verdana" w:cs="Times New Roman"/>
          <w:sz w:val="16"/>
          <w:szCs w:val="16"/>
          <w:lang w:eastAsia="es-AR"/>
        </w:rPr>
      </w:pPr>
      <w:r w:rsidRPr="00076527">
        <w:rPr>
          <w:rFonts w:ascii="Verdana" w:eastAsia="Times New Roman" w:hAnsi="Verdana" w:cs="Times New Roman"/>
          <w:sz w:val="16"/>
          <w:szCs w:val="16"/>
          <w:lang w:eastAsia="es-AR"/>
        </w:rPr>
        <w:t>3. Los contribuyentes que tributen por Convenio Multilateral, deberán aportar los papeles de trabajo que dieron origen a la determinación del Coeficiente Unificado y la evolución del mismo de los últimos 5 (cinco) años.</w:t>
      </w:r>
    </w:p>
    <w:p w:rsidR="00076527" w:rsidRPr="00076527" w:rsidRDefault="00076527" w:rsidP="00076527">
      <w:pPr>
        <w:spacing w:before="80" w:after="0" w:line="240" w:lineRule="auto"/>
        <w:ind w:left="70" w:right="70" w:firstLine="70"/>
        <w:jc w:val="both"/>
        <w:rPr>
          <w:rFonts w:ascii="Verdana" w:eastAsia="Times New Roman" w:hAnsi="Verdana" w:cs="Times New Roman"/>
          <w:sz w:val="16"/>
          <w:szCs w:val="16"/>
          <w:lang w:eastAsia="es-AR"/>
        </w:rPr>
      </w:pPr>
      <w:r w:rsidRPr="00076527">
        <w:rPr>
          <w:rFonts w:ascii="Verdana" w:eastAsia="Times New Roman" w:hAnsi="Verdana" w:cs="Times New Roman"/>
          <w:b/>
          <w:bCs/>
          <w:sz w:val="16"/>
          <w:szCs w:val="16"/>
          <w:lang w:eastAsia="es-AR"/>
        </w:rPr>
        <w:t xml:space="preserve">Art. 4 </w:t>
      </w:r>
      <w:r w:rsidRPr="00076527">
        <w:rPr>
          <w:rFonts w:ascii="Verdana" w:eastAsia="Times New Roman" w:hAnsi="Verdana" w:cs="Times New Roman"/>
          <w:sz w:val="16"/>
          <w:szCs w:val="16"/>
          <w:lang w:eastAsia="es-AR"/>
        </w:rPr>
        <w:t>- El incumplimiento de alguno de los requisitos o requerimientos de esta Administración, dentro del plazo de 10 (diez) días hábiles, dará lugar a la baja automática del trámite no pudiendo reformular el pedido dentro de los 60 días hábiles de la presentación anterior.</w:t>
      </w:r>
    </w:p>
    <w:p w:rsidR="00076527" w:rsidRPr="00076527" w:rsidRDefault="00076527" w:rsidP="00076527">
      <w:pPr>
        <w:spacing w:before="80" w:after="0" w:line="240" w:lineRule="auto"/>
        <w:ind w:left="70" w:right="70" w:firstLine="70"/>
        <w:jc w:val="both"/>
        <w:rPr>
          <w:rFonts w:ascii="Verdana" w:eastAsia="Times New Roman" w:hAnsi="Verdana" w:cs="Times New Roman"/>
          <w:sz w:val="16"/>
          <w:szCs w:val="16"/>
          <w:lang w:eastAsia="es-AR"/>
        </w:rPr>
      </w:pPr>
      <w:r w:rsidRPr="00076527">
        <w:rPr>
          <w:rFonts w:ascii="Verdana" w:eastAsia="Times New Roman" w:hAnsi="Verdana" w:cs="Times New Roman"/>
          <w:b/>
          <w:bCs/>
          <w:sz w:val="16"/>
          <w:szCs w:val="16"/>
          <w:lang w:eastAsia="es-AR"/>
        </w:rPr>
        <w:t xml:space="preserve">Art. 5 </w:t>
      </w:r>
      <w:r w:rsidRPr="00076527">
        <w:rPr>
          <w:rFonts w:ascii="Verdana" w:eastAsia="Times New Roman" w:hAnsi="Verdana" w:cs="Times New Roman"/>
          <w:sz w:val="16"/>
          <w:szCs w:val="16"/>
          <w:lang w:eastAsia="es-AR"/>
        </w:rPr>
        <w:t>- En aquellos casos en que el contribuyente aporte la documentación requerida en el artículo 3, la Dirección Agentes de Recaudación e Información procederá a su evaluación a los efectos de corroborar la situación fiscal denunciada.</w:t>
      </w:r>
    </w:p>
    <w:p w:rsidR="00076527" w:rsidRPr="00076527" w:rsidRDefault="00076527" w:rsidP="00076527">
      <w:pPr>
        <w:spacing w:before="80" w:after="0" w:line="240" w:lineRule="auto"/>
        <w:ind w:left="70" w:right="70" w:firstLine="70"/>
        <w:jc w:val="both"/>
        <w:rPr>
          <w:rFonts w:ascii="Verdana" w:eastAsia="Times New Roman" w:hAnsi="Verdana" w:cs="Times New Roman"/>
          <w:sz w:val="16"/>
          <w:szCs w:val="16"/>
          <w:lang w:eastAsia="es-AR"/>
        </w:rPr>
      </w:pPr>
      <w:r w:rsidRPr="00076527">
        <w:rPr>
          <w:rFonts w:ascii="Verdana" w:eastAsia="Times New Roman" w:hAnsi="Verdana" w:cs="Times New Roman"/>
          <w:b/>
          <w:bCs/>
          <w:sz w:val="16"/>
          <w:szCs w:val="16"/>
          <w:lang w:eastAsia="es-AR"/>
        </w:rPr>
        <w:t xml:space="preserve">Art. 6 </w:t>
      </w:r>
      <w:r w:rsidRPr="00076527">
        <w:rPr>
          <w:rFonts w:ascii="Verdana" w:eastAsia="Times New Roman" w:hAnsi="Verdana" w:cs="Times New Roman"/>
          <w:sz w:val="16"/>
          <w:szCs w:val="16"/>
          <w:lang w:eastAsia="es-AR"/>
        </w:rPr>
        <w:t>- La procedencia de la solicitud, de corresponder, implicará la reducción de todas las alícuotas aplicables de la totalidad de los regímenes de retención y/o percepción vigentes, excepto segundo párrafo del artículo 1.</w:t>
      </w:r>
    </w:p>
    <w:p w:rsidR="00076527" w:rsidRPr="00076527" w:rsidRDefault="00076527" w:rsidP="00076527">
      <w:pPr>
        <w:spacing w:before="80" w:after="0" w:line="240" w:lineRule="auto"/>
        <w:ind w:left="70" w:right="70" w:firstLine="70"/>
        <w:jc w:val="both"/>
        <w:rPr>
          <w:rFonts w:ascii="Verdana" w:eastAsia="Times New Roman" w:hAnsi="Verdana" w:cs="Times New Roman"/>
          <w:sz w:val="16"/>
          <w:szCs w:val="16"/>
          <w:lang w:eastAsia="es-AR"/>
        </w:rPr>
      </w:pPr>
      <w:r w:rsidRPr="00076527">
        <w:rPr>
          <w:rFonts w:ascii="Verdana" w:eastAsia="Times New Roman" w:hAnsi="Verdana" w:cs="Times New Roman"/>
          <w:b/>
          <w:bCs/>
          <w:sz w:val="16"/>
          <w:szCs w:val="16"/>
          <w:lang w:eastAsia="es-AR"/>
        </w:rPr>
        <w:t xml:space="preserve">Art. 7 </w:t>
      </w:r>
      <w:r w:rsidRPr="00076527">
        <w:rPr>
          <w:rFonts w:ascii="Verdana" w:eastAsia="Times New Roman" w:hAnsi="Verdana" w:cs="Times New Roman"/>
          <w:sz w:val="16"/>
          <w:szCs w:val="16"/>
          <w:lang w:eastAsia="es-AR"/>
        </w:rPr>
        <w:t>- La atenuación de alícuotas se extenderá por un plazo máximo de 6 (seis) meses, o 2 (dos) trimestres calendarios, siempre que se mantenga la situación fiscal que diera lugar a la aplicación del presente tratamiento. Si transcurrido el período antes indicado, persistiera la circunstancia que diera origen a la solicitud, el contribuyente podrá requerir una extensión del plazo.</w:t>
      </w:r>
    </w:p>
    <w:p w:rsidR="00076527" w:rsidRPr="00076527" w:rsidRDefault="00076527" w:rsidP="00076527">
      <w:pPr>
        <w:spacing w:before="80" w:after="0" w:line="240" w:lineRule="auto"/>
        <w:ind w:left="70" w:right="70" w:firstLine="70"/>
        <w:jc w:val="both"/>
        <w:rPr>
          <w:rFonts w:ascii="Verdana" w:eastAsia="Times New Roman" w:hAnsi="Verdana" w:cs="Times New Roman"/>
          <w:sz w:val="16"/>
          <w:szCs w:val="16"/>
          <w:lang w:eastAsia="es-AR"/>
        </w:rPr>
      </w:pPr>
      <w:r w:rsidRPr="00076527">
        <w:rPr>
          <w:rFonts w:ascii="Verdana" w:eastAsia="Times New Roman" w:hAnsi="Verdana" w:cs="Times New Roman"/>
          <w:b/>
          <w:bCs/>
          <w:sz w:val="16"/>
          <w:szCs w:val="16"/>
          <w:lang w:eastAsia="es-AR"/>
        </w:rPr>
        <w:t xml:space="preserve">Art. 8 </w:t>
      </w:r>
      <w:r w:rsidRPr="00076527">
        <w:rPr>
          <w:rFonts w:ascii="Verdana" w:eastAsia="Times New Roman" w:hAnsi="Verdana" w:cs="Times New Roman"/>
          <w:sz w:val="16"/>
          <w:szCs w:val="16"/>
          <w:lang w:eastAsia="es-AR"/>
        </w:rPr>
        <w:t>- La Dirección General de Rentas pondrá a disposición de los agentes de recaudación el "Padrón de Contribuyentes Exentos, de Actividades Promovidas, de Nuevos Emprendimientos y con Alícuotas Diferenciales" en el que se registrará el universo de contribuyentes a los que se les hayan asignado alícuotas morigeradas.</w:t>
      </w:r>
    </w:p>
    <w:p w:rsidR="00076527" w:rsidRPr="00076527" w:rsidRDefault="00076527" w:rsidP="00076527">
      <w:pPr>
        <w:spacing w:before="80" w:after="0" w:line="240" w:lineRule="auto"/>
        <w:ind w:left="70" w:right="70" w:firstLine="70"/>
        <w:jc w:val="both"/>
        <w:rPr>
          <w:rFonts w:ascii="Verdana" w:eastAsia="Times New Roman" w:hAnsi="Verdana" w:cs="Times New Roman"/>
          <w:sz w:val="16"/>
          <w:szCs w:val="16"/>
          <w:lang w:eastAsia="es-AR"/>
        </w:rPr>
      </w:pPr>
      <w:r w:rsidRPr="00076527">
        <w:rPr>
          <w:rFonts w:ascii="Verdana" w:eastAsia="Times New Roman" w:hAnsi="Verdana" w:cs="Times New Roman"/>
          <w:b/>
          <w:bCs/>
          <w:sz w:val="16"/>
          <w:szCs w:val="16"/>
          <w:lang w:eastAsia="es-AR"/>
        </w:rPr>
        <w:t xml:space="preserve">Art. 9 </w:t>
      </w:r>
      <w:r w:rsidRPr="00076527">
        <w:rPr>
          <w:rFonts w:ascii="Verdana" w:eastAsia="Times New Roman" w:hAnsi="Verdana" w:cs="Times New Roman"/>
          <w:sz w:val="16"/>
          <w:szCs w:val="16"/>
          <w:lang w:eastAsia="es-AR"/>
        </w:rPr>
        <w:t>- El padrón citado en el artículo anterior será actualizado por trimestre calendario y estará a disposición de los contribuyentes y agentes de recaudación en la página web de la Administración Gubernamental de Ingresos Públicos "www.agip.gob.ar" con una antelación de 3 (tres) días hábiles a su vigencia, el que será de aplicación a partir del 1 de enero de 2015 y solo registrará aquellas solicitudes que hubieran sido aceptadas, debiendo los contribuyentes o responsables, aguardar hasta la finalización del mismo para cualquier modificación del padrón en cuestión.</w:t>
      </w:r>
    </w:p>
    <w:p w:rsidR="00076527" w:rsidRPr="00076527" w:rsidRDefault="00076527" w:rsidP="00076527">
      <w:pPr>
        <w:spacing w:before="80" w:after="0" w:line="240" w:lineRule="auto"/>
        <w:ind w:left="70" w:right="70" w:firstLine="70"/>
        <w:jc w:val="both"/>
        <w:rPr>
          <w:rFonts w:ascii="Verdana" w:eastAsia="Times New Roman" w:hAnsi="Verdana" w:cs="Times New Roman"/>
          <w:sz w:val="16"/>
          <w:szCs w:val="16"/>
          <w:lang w:eastAsia="es-AR"/>
        </w:rPr>
      </w:pPr>
      <w:r w:rsidRPr="00076527">
        <w:rPr>
          <w:rFonts w:ascii="Verdana" w:eastAsia="Times New Roman" w:hAnsi="Verdana" w:cs="Times New Roman"/>
          <w:b/>
          <w:bCs/>
          <w:sz w:val="16"/>
          <w:szCs w:val="16"/>
          <w:lang w:eastAsia="es-AR"/>
        </w:rPr>
        <w:t xml:space="preserve">Art. 10 </w:t>
      </w:r>
      <w:r w:rsidRPr="00076527">
        <w:rPr>
          <w:rFonts w:ascii="Verdana" w:eastAsia="Times New Roman" w:hAnsi="Verdana" w:cs="Times New Roman"/>
          <w:sz w:val="16"/>
          <w:szCs w:val="16"/>
          <w:lang w:eastAsia="es-AR"/>
        </w:rPr>
        <w:t>- Las solicitudes de atenuación de alícuotas podrán ser remitidas a la Dirección Análisis e Investigación dependiente de la Subdirección General de Grandes Contribuyentes y Evaluación Tributaria y a la Subdirección General de Fiscalización de la Dirección General de Rentas de este Organismo, para la generación del cargo de fiscalización respectivo a los fines de verificar la situación fiscal del contribuyente con relación a la liquidación del impuesto y la procedencia de los saldos a favor invocados.</w:t>
      </w:r>
    </w:p>
    <w:p w:rsidR="00076527" w:rsidRPr="00076527" w:rsidRDefault="00076527" w:rsidP="00076527">
      <w:pPr>
        <w:spacing w:before="80" w:after="0" w:line="240" w:lineRule="auto"/>
        <w:ind w:left="70" w:right="70" w:firstLine="70"/>
        <w:jc w:val="both"/>
        <w:rPr>
          <w:rFonts w:ascii="Verdana" w:eastAsia="Times New Roman" w:hAnsi="Verdana" w:cs="Times New Roman"/>
          <w:sz w:val="16"/>
          <w:szCs w:val="16"/>
          <w:lang w:eastAsia="es-AR"/>
        </w:rPr>
      </w:pPr>
      <w:r w:rsidRPr="00076527">
        <w:rPr>
          <w:rFonts w:ascii="Verdana" w:eastAsia="Times New Roman" w:hAnsi="Verdana" w:cs="Times New Roman"/>
          <w:b/>
          <w:bCs/>
          <w:sz w:val="16"/>
          <w:szCs w:val="16"/>
          <w:lang w:eastAsia="es-AR"/>
        </w:rPr>
        <w:t xml:space="preserve">Art. 11 </w:t>
      </w:r>
      <w:r w:rsidRPr="00076527">
        <w:rPr>
          <w:rFonts w:ascii="Verdana" w:eastAsia="Times New Roman" w:hAnsi="Verdana" w:cs="Times New Roman"/>
          <w:sz w:val="16"/>
          <w:szCs w:val="16"/>
          <w:lang w:eastAsia="es-AR"/>
        </w:rPr>
        <w:t>- Ante la inclusión simultánea del contribuyente retenido/percibido en el Padrón de Riesgo Fiscal y en el Padrón de Contribuyentes Exentos, de Actividades Promovidas, de Nuevos Emprendimientos y con Alícuotas Diferenciales, tendrá preeminencia la alícuota que establezca este último. Si las causales de riesgo fiscal persisten una vez finalizado el trimestre, se procederá a su exclusión del Padrón de Alícuotas Diferenciales hasta tanto regularice la situación que diera origen a su inclusión en el Padrón de Riesgo Fiscal.</w:t>
      </w:r>
    </w:p>
    <w:p w:rsidR="00076527" w:rsidRPr="00076527" w:rsidRDefault="00076527" w:rsidP="00076527">
      <w:pPr>
        <w:spacing w:before="80" w:after="0" w:line="240" w:lineRule="auto"/>
        <w:ind w:left="70" w:right="70" w:firstLine="70"/>
        <w:jc w:val="both"/>
        <w:rPr>
          <w:rFonts w:ascii="Verdana" w:eastAsia="Times New Roman" w:hAnsi="Verdana" w:cs="Times New Roman"/>
          <w:sz w:val="16"/>
          <w:szCs w:val="16"/>
          <w:lang w:eastAsia="es-AR"/>
        </w:rPr>
      </w:pPr>
      <w:r w:rsidRPr="00076527">
        <w:rPr>
          <w:rFonts w:ascii="Verdana" w:eastAsia="Times New Roman" w:hAnsi="Verdana" w:cs="Times New Roman"/>
          <w:b/>
          <w:bCs/>
          <w:sz w:val="16"/>
          <w:szCs w:val="16"/>
          <w:lang w:eastAsia="es-AR"/>
        </w:rPr>
        <w:t xml:space="preserve">Art. 12 </w:t>
      </w:r>
      <w:r w:rsidRPr="00076527">
        <w:rPr>
          <w:rFonts w:ascii="Verdana" w:eastAsia="Times New Roman" w:hAnsi="Verdana" w:cs="Times New Roman"/>
          <w:sz w:val="16"/>
          <w:szCs w:val="16"/>
          <w:lang w:eastAsia="es-AR"/>
        </w:rPr>
        <w:t xml:space="preserve">- </w:t>
      </w:r>
      <w:proofErr w:type="spellStart"/>
      <w:r w:rsidRPr="00076527">
        <w:rPr>
          <w:rFonts w:ascii="Verdana" w:eastAsia="Times New Roman" w:hAnsi="Verdana" w:cs="Times New Roman"/>
          <w:sz w:val="16"/>
          <w:szCs w:val="16"/>
          <w:lang w:eastAsia="es-AR"/>
        </w:rPr>
        <w:t>Apruébase</w:t>
      </w:r>
      <w:proofErr w:type="spellEnd"/>
      <w:r w:rsidRPr="00076527">
        <w:rPr>
          <w:rFonts w:ascii="Verdana" w:eastAsia="Times New Roman" w:hAnsi="Verdana" w:cs="Times New Roman"/>
          <w:sz w:val="16"/>
          <w:szCs w:val="16"/>
          <w:lang w:eastAsia="es-AR"/>
        </w:rPr>
        <w:t xml:space="preserve"> el diseño de registro "Padrón de Contribuyentes Exentos, de Actividades Promovidas, de Nuevos Emprendimientos y con Alícuotas Diferenciales" que como Anexo I</w:t>
      </w:r>
      <w:hyperlink r:id="rId9" w:anchor="nota" w:tgtFrame="_self" w:history="1">
        <w:r w:rsidRPr="00076527">
          <w:rPr>
            <w:rFonts w:ascii="Verdana" w:eastAsia="Times New Roman" w:hAnsi="Verdana" w:cs="Times New Roman"/>
            <w:color w:val="0000FF"/>
            <w:sz w:val="12"/>
            <w:u w:val="single"/>
            <w:lang w:eastAsia="es-AR"/>
          </w:rPr>
          <w:t>(1)</w:t>
        </w:r>
      </w:hyperlink>
      <w:r w:rsidRPr="00076527">
        <w:rPr>
          <w:rFonts w:ascii="Verdana" w:eastAsia="Times New Roman" w:hAnsi="Verdana" w:cs="Times New Roman"/>
          <w:sz w:val="16"/>
          <w:szCs w:val="16"/>
          <w:lang w:eastAsia="es-AR"/>
        </w:rPr>
        <w:t xml:space="preserve"> forma parte integrante de la presente resolución.</w:t>
      </w:r>
    </w:p>
    <w:p w:rsidR="00076527" w:rsidRPr="00076527" w:rsidRDefault="00076527" w:rsidP="00076527">
      <w:pPr>
        <w:spacing w:before="80" w:after="0" w:line="240" w:lineRule="auto"/>
        <w:ind w:left="70" w:right="70" w:firstLine="70"/>
        <w:jc w:val="both"/>
        <w:rPr>
          <w:rFonts w:ascii="Verdana" w:eastAsia="Times New Roman" w:hAnsi="Verdana" w:cs="Times New Roman"/>
          <w:sz w:val="16"/>
          <w:szCs w:val="16"/>
          <w:lang w:eastAsia="es-AR"/>
        </w:rPr>
      </w:pPr>
      <w:r w:rsidRPr="00076527">
        <w:rPr>
          <w:rFonts w:ascii="Verdana" w:eastAsia="Times New Roman" w:hAnsi="Verdana" w:cs="Times New Roman"/>
          <w:b/>
          <w:bCs/>
          <w:sz w:val="16"/>
          <w:szCs w:val="16"/>
          <w:lang w:eastAsia="es-AR"/>
        </w:rPr>
        <w:t xml:space="preserve">Art. 13 </w:t>
      </w:r>
      <w:r w:rsidRPr="00076527">
        <w:rPr>
          <w:rFonts w:ascii="Verdana" w:eastAsia="Times New Roman" w:hAnsi="Verdana" w:cs="Times New Roman"/>
          <w:sz w:val="16"/>
          <w:szCs w:val="16"/>
          <w:lang w:eastAsia="es-AR"/>
        </w:rPr>
        <w:t xml:space="preserve">- </w:t>
      </w:r>
      <w:proofErr w:type="spellStart"/>
      <w:r w:rsidRPr="00076527">
        <w:rPr>
          <w:rFonts w:ascii="Verdana" w:eastAsia="Times New Roman" w:hAnsi="Verdana" w:cs="Times New Roman"/>
          <w:sz w:val="16"/>
          <w:szCs w:val="16"/>
          <w:lang w:eastAsia="es-AR"/>
        </w:rPr>
        <w:t>Facúltase</w:t>
      </w:r>
      <w:proofErr w:type="spellEnd"/>
      <w:r w:rsidRPr="00076527">
        <w:rPr>
          <w:rFonts w:ascii="Verdana" w:eastAsia="Times New Roman" w:hAnsi="Verdana" w:cs="Times New Roman"/>
          <w:sz w:val="16"/>
          <w:szCs w:val="16"/>
          <w:lang w:eastAsia="es-AR"/>
        </w:rPr>
        <w:t xml:space="preserve"> a la Dirección General de Rentas a:</w:t>
      </w:r>
    </w:p>
    <w:p w:rsidR="00076527" w:rsidRPr="00076527" w:rsidRDefault="00076527" w:rsidP="00076527">
      <w:pPr>
        <w:spacing w:before="80" w:after="0" w:line="240" w:lineRule="auto"/>
        <w:ind w:left="180" w:right="70"/>
        <w:jc w:val="both"/>
        <w:rPr>
          <w:rFonts w:ascii="Verdana" w:eastAsia="Times New Roman" w:hAnsi="Verdana" w:cs="Times New Roman"/>
          <w:sz w:val="16"/>
          <w:szCs w:val="16"/>
          <w:lang w:eastAsia="es-AR"/>
        </w:rPr>
      </w:pPr>
      <w:r w:rsidRPr="00076527">
        <w:rPr>
          <w:rFonts w:ascii="Verdana" w:eastAsia="Times New Roman" w:hAnsi="Verdana" w:cs="Times New Roman"/>
          <w:sz w:val="16"/>
          <w:szCs w:val="16"/>
          <w:lang w:eastAsia="es-AR"/>
        </w:rPr>
        <w:t>1. Dictar las normas de carácter operativas y complementarias que resulten necesarias.</w:t>
      </w:r>
    </w:p>
    <w:p w:rsidR="00076527" w:rsidRPr="00076527" w:rsidRDefault="00076527" w:rsidP="00076527">
      <w:pPr>
        <w:spacing w:before="80" w:after="0" w:line="240" w:lineRule="auto"/>
        <w:ind w:left="180" w:right="70"/>
        <w:jc w:val="both"/>
        <w:rPr>
          <w:rFonts w:ascii="Verdana" w:eastAsia="Times New Roman" w:hAnsi="Verdana" w:cs="Times New Roman"/>
          <w:sz w:val="16"/>
          <w:szCs w:val="16"/>
          <w:lang w:eastAsia="es-AR"/>
        </w:rPr>
      </w:pPr>
      <w:r w:rsidRPr="00076527">
        <w:rPr>
          <w:rFonts w:ascii="Verdana" w:eastAsia="Times New Roman" w:hAnsi="Verdana" w:cs="Times New Roman"/>
          <w:sz w:val="16"/>
          <w:szCs w:val="16"/>
          <w:lang w:eastAsia="es-AR"/>
        </w:rPr>
        <w:t>2. Resolver situaciones de hecho que se planteen con respecto a la presente resolución.</w:t>
      </w:r>
    </w:p>
    <w:p w:rsidR="00076527" w:rsidRPr="00076527" w:rsidRDefault="00076527" w:rsidP="00076527">
      <w:pPr>
        <w:spacing w:before="80" w:after="0" w:line="240" w:lineRule="auto"/>
        <w:ind w:left="70" w:right="70" w:firstLine="70"/>
        <w:jc w:val="both"/>
        <w:rPr>
          <w:rFonts w:ascii="Verdana" w:eastAsia="Times New Roman" w:hAnsi="Verdana" w:cs="Times New Roman"/>
          <w:sz w:val="16"/>
          <w:szCs w:val="16"/>
          <w:lang w:eastAsia="es-AR"/>
        </w:rPr>
      </w:pPr>
      <w:r w:rsidRPr="00076527">
        <w:rPr>
          <w:rFonts w:ascii="Verdana" w:eastAsia="Times New Roman" w:hAnsi="Verdana" w:cs="Times New Roman"/>
          <w:b/>
          <w:bCs/>
          <w:sz w:val="16"/>
          <w:szCs w:val="16"/>
          <w:lang w:eastAsia="es-AR"/>
        </w:rPr>
        <w:t xml:space="preserve">Art. 14 </w:t>
      </w:r>
      <w:r w:rsidRPr="00076527">
        <w:rPr>
          <w:rFonts w:ascii="Verdana" w:eastAsia="Times New Roman" w:hAnsi="Verdana" w:cs="Times New Roman"/>
          <w:sz w:val="16"/>
          <w:szCs w:val="16"/>
          <w:lang w:eastAsia="es-AR"/>
        </w:rPr>
        <w:t>- De forma.</w:t>
      </w:r>
    </w:p>
    <w:p w:rsidR="00076527" w:rsidRPr="00076527" w:rsidRDefault="00076527" w:rsidP="00076527">
      <w:pPr>
        <w:spacing w:before="120" w:after="0" w:line="240" w:lineRule="auto"/>
        <w:ind w:left="70" w:right="70"/>
        <w:jc w:val="both"/>
        <w:rPr>
          <w:rFonts w:ascii="Verdana" w:eastAsia="Times New Roman" w:hAnsi="Verdana" w:cs="Times New Roman"/>
          <w:sz w:val="16"/>
          <w:szCs w:val="16"/>
          <w:lang w:eastAsia="es-AR"/>
        </w:rPr>
      </w:pPr>
      <w:bookmarkStart w:id="3" w:name="textosegun"/>
      <w:r w:rsidRPr="00076527">
        <w:rPr>
          <w:rFonts w:ascii="Verdana" w:eastAsia="Times New Roman" w:hAnsi="Verdana" w:cs="Times New Roman"/>
          <w:vanish/>
          <w:sz w:val="16"/>
          <w:szCs w:val="16"/>
          <w:lang w:eastAsia="es-AR"/>
        </w:rPr>
        <w:t> </w:t>
      </w:r>
      <w:bookmarkEnd w:id="3"/>
      <w:r w:rsidRPr="00076527">
        <w:rPr>
          <w:rFonts w:ascii="Verdana" w:eastAsia="Times New Roman" w:hAnsi="Verdana" w:cs="Times New Roman"/>
          <w:b/>
          <w:bCs/>
          <w:sz w:val="16"/>
          <w:szCs w:val="16"/>
          <w:lang w:eastAsia="es-AR"/>
        </w:rPr>
        <w:t>TEXTO S/</w:t>
      </w:r>
      <w:r w:rsidRPr="00076527">
        <w:rPr>
          <w:rFonts w:ascii="Verdana" w:eastAsia="Times New Roman" w:hAnsi="Verdana" w:cs="Times New Roman"/>
          <w:sz w:val="16"/>
          <w:szCs w:val="16"/>
          <w:lang w:eastAsia="es-AR"/>
        </w:rPr>
        <w:t>R. (</w:t>
      </w:r>
      <w:proofErr w:type="spellStart"/>
      <w:r w:rsidRPr="00076527">
        <w:rPr>
          <w:rFonts w:ascii="Verdana" w:eastAsia="Times New Roman" w:hAnsi="Verdana" w:cs="Times New Roman"/>
          <w:sz w:val="16"/>
          <w:szCs w:val="16"/>
          <w:lang w:eastAsia="es-AR"/>
        </w:rPr>
        <w:t>AGIP</w:t>
      </w:r>
      <w:proofErr w:type="spellEnd"/>
      <w:r w:rsidRPr="00076527">
        <w:rPr>
          <w:rFonts w:ascii="Verdana" w:eastAsia="Times New Roman" w:hAnsi="Verdana" w:cs="Times New Roman"/>
          <w:sz w:val="16"/>
          <w:szCs w:val="16"/>
          <w:lang w:eastAsia="es-AR"/>
        </w:rPr>
        <w:t xml:space="preserve"> Bs. As. </w:t>
      </w:r>
      <w:proofErr w:type="spellStart"/>
      <w:r w:rsidRPr="00076527">
        <w:rPr>
          <w:rFonts w:ascii="Verdana" w:eastAsia="Times New Roman" w:hAnsi="Verdana" w:cs="Times New Roman"/>
          <w:sz w:val="16"/>
          <w:szCs w:val="16"/>
          <w:lang w:eastAsia="es-AR"/>
        </w:rPr>
        <w:t>cdad</w:t>
      </w:r>
      <w:proofErr w:type="spellEnd"/>
      <w:r w:rsidRPr="00076527">
        <w:rPr>
          <w:rFonts w:ascii="Verdana" w:eastAsia="Times New Roman" w:hAnsi="Verdana" w:cs="Times New Roman"/>
          <w:sz w:val="16"/>
          <w:szCs w:val="16"/>
          <w:lang w:eastAsia="es-AR"/>
        </w:rPr>
        <w:t xml:space="preserve">.) 816/2014 - </w:t>
      </w:r>
      <w:proofErr w:type="spellStart"/>
      <w:r w:rsidRPr="00076527">
        <w:rPr>
          <w:rFonts w:ascii="Verdana" w:eastAsia="Times New Roman" w:hAnsi="Verdana" w:cs="Times New Roman"/>
          <w:b/>
          <w:bCs/>
          <w:sz w:val="16"/>
          <w:szCs w:val="16"/>
          <w:lang w:eastAsia="es-AR"/>
        </w:rPr>
        <w:t>BO</w:t>
      </w:r>
      <w:proofErr w:type="spellEnd"/>
      <w:r w:rsidRPr="00076527">
        <w:rPr>
          <w:rFonts w:ascii="Verdana" w:eastAsia="Times New Roman" w:hAnsi="Verdana" w:cs="Times New Roman"/>
          <w:b/>
          <w:bCs/>
          <w:sz w:val="16"/>
          <w:szCs w:val="16"/>
          <w:lang w:eastAsia="es-AR"/>
        </w:rPr>
        <w:t xml:space="preserve"> </w:t>
      </w:r>
      <w:r w:rsidRPr="00076527">
        <w:rPr>
          <w:rFonts w:ascii="Verdana" w:eastAsia="Times New Roman" w:hAnsi="Verdana" w:cs="Times New Roman"/>
          <w:sz w:val="16"/>
          <w:szCs w:val="16"/>
          <w:lang w:eastAsia="es-AR"/>
        </w:rPr>
        <w:t xml:space="preserve">(Bs. As. </w:t>
      </w:r>
      <w:proofErr w:type="spellStart"/>
      <w:r w:rsidRPr="00076527">
        <w:rPr>
          <w:rFonts w:ascii="Verdana" w:eastAsia="Times New Roman" w:hAnsi="Verdana" w:cs="Times New Roman"/>
          <w:sz w:val="16"/>
          <w:szCs w:val="16"/>
          <w:lang w:eastAsia="es-AR"/>
        </w:rPr>
        <w:t>cdad</w:t>
      </w:r>
      <w:proofErr w:type="spellEnd"/>
      <w:r w:rsidRPr="00076527">
        <w:rPr>
          <w:rFonts w:ascii="Verdana" w:eastAsia="Times New Roman" w:hAnsi="Verdana" w:cs="Times New Roman"/>
          <w:sz w:val="16"/>
          <w:szCs w:val="16"/>
          <w:lang w:eastAsia="es-AR"/>
        </w:rPr>
        <w:t>.): 17/12/2014</w:t>
      </w:r>
    </w:p>
    <w:p w:rsidR="00076527" w:rsidRPr="00076527" w:rsidRDefault="00076527" w:rsidP="00076527">
      <w:pPr>
        <w:spacing w:before="120" w:after="0" w:line="240" w:lineRule="auto"/>
        <w:ind w:left="70" w:right="70"/>
        <w:jc w:val="both"/>
        <w:rPr>
          <w:rFonts w:ascii="Verdana" w:eastAsia="Times New Roman" w:hAnsi="Verdana" w:cs="Times New Roman"/>
          <w:sz w:val="16"/>
          <w:szCs w:val="16"/>
          <w:lang w:eastAsia="es-AR"/>
        </w:rPr>
      </w:pPr>
      <w:r w:rsidRPr="00076527">
        <w:rPr>
          <w:rFonts w:ascii="Verdana" w:eastAsia="Times New Roman" w:hAnsi="Verdana" w:cs="Times New Roman"/>
          <w:b/>
          <w:bCs/>
          <w:sz w:val="16"/>
          <w:szCs w:val="16"/>
          <w:lang w:eastAsia="es-AR"/>
        </w:rPr>
        <w:t>FUENTE:</w:t>
      </w:r>
      <w:r w:rsidRPr="00076527">
        <w:rPr>
          <w:rFonts w:ascii="Verdana" w:eastAsia="Times New Roman" w:hAnsi="Verdana" w:cs="Times New Roman"/>
          <w:sz w:val="16"/>
          <w:szCs w:val="16"/>
          <w:lang w:eastAsia="es-AR"/>
        </w:rPr>
        <w:t xml:space="preserve"> R. (</w:t>
      </w:r>
      <w:proofErr w:type="spellStart"/>
      <w:r w:rsidRPr="00076527">
        <w:rPr>
          <w:rFonts w:ascii="Verdana" w:eastAsia="Times New Roman" w:hAnsi="Verdana" w:cs="Times New Roman"/>
          <w:sz w:val="16"/>
          <w:szCs w:val="16"/>
          <w:lang w:eastAsia="es-AR"/>
        </w:rPr>
        <w:t>AGIP</w:t>
      </w:r>
      <w:proofErr w:type="spellEnd"/>
      <w:r w:rsidRPr="00076527">
        <w:rPr>
          <w:rFonts w:ascii="Verdana" w:eastAsia="Times New Roman" w:hAnsi="Verdana" w:cs="Times New Roman"/>
          <w:sz w:val="16"/>
          <w:szCs w:val="16"/>
          <w:lang w:eastAsia="es-AR"/>
        </w:rPr>
        <w:t xml:space="preserve"> Bs. As. </w:t>
      </w:r>
      <w:proofErr w:type="spellStart"/>
      <w:r w:rsidRPr="00076527">
        <w:rPr>
          <w:rFonts w:ascii="Verdana" w:eastAsia="Times New Roman" w:hAnsi="Verdana" w:cs="Times New Roman"/>
          <w:sz w:val="16"/>
          <w:szCs w:val="16"/>
          <w:lang w:eastAsia="es-AR"/>
        </w:rPr>
        <w:t>cdad</w:t>
      </w:r>
      <w:proofErr w:type="spellEnd"/>
      <w:r w:rsidRPr="00076527">
        <w:rPr>
          <w:rFonts w:ascii="Verdana" w:eastAsia="Times New Roman" w:hAnsi="Verdana" w:cs="Times New Roman"/>
          <w:sz w:val="16"/>
          <w:szCs w:val="16"/>
          <w:lang w:eastAsia="es-AR"/>
        </w:rPr>
        <w:t>.) 816/2014</w:t>
      </w:r>
    </w:p>
    <w:p w:rsidR="00076527" w:rsidRPr="00076527" w:rsidRDefault="00076527" w:rsidP="00076527">
      <w:pPr>
        <w:shd w:val="clear" w:color="auto" w:fill="000000"/>
        <w:spacing w:before="120" w:after="100" w:afterAutospacing="1" w:line="240" w:lineRule="auto"/>
        <w:ind w:left="70" w:right="70"/>
        <w:rPr>
          <w:rFonts w:ascii="Verdana" w:eastAsia="Times New Roman" w:hAnsi="Verdana" w:cs="Times New Roman"/>
          <w:b/>
          <w:bCs/>
          <w:color w:val="FFFFFF"/>
          <w:sz w:val="16"/>
          <w:szCs w:val="16"/>
          <w:lang w:eastAsia="es-AR"/>
        </w:rPr>
      </w:pPr>
      <w:r w:rsidRPr="00076527">
        <w:rPr>
          <w:rFonts w:ascii="Verdana" w:eastAsia="Times New Roman" w:hAnsi="Verdana" w:cs="Times New Roman"/>
          <w:b/>
          <w:bCs/>
          <w:color w:val="FFFFFF"/>
          <w:sz w:val="16"/>
          <w:szCs w:val="16"/>
          <w:lang w:eastAsia="es-AR"/>
        </w:rPr>
        <w:t>VIGENCIA Y APLICACIÓN</w:t>
      </w:r>
    </w:p>
    <w:p w:rsidR="00076527" w:rsidRPr="00076527" w:rsidRDefault="00076527" w:rsidP="00076527">
      <w:pPr>
        <w:spacing w:before="120" w:after="0" w:line="240" w:lineRule="auto"/>
        <w:ind w:left="70" w:right="70"/>
        <w:jc w:val="both"/>
        <w:rPr>
          <w:rFonts w:ascii="Verdana" w:eastAsia="Times New Roman" w:hAnsi="Verdana" w:cs="Times New Roman"/>
          <w:sz w:val="16"/>
          <w:szCs w:val="16"/>
          <w:lang w:eastAsia="es-AR"/>
        </w:rPr>
      </w:pPr>
      <w:r w:rsidRPr="00076527">
        <w:rPr>
          <w:rFonts w:ascii="Verdana" w:eastAsia="Times New Roman" w:hAnsi="Verdana" w:cs="Times New Roman"/>
          <w:sz w:val="16"/>
          <w:szCs w:val="16"/>
          <w:lang w:eastAsia="es-AR"/>
        </w:rPr>
        <w:t>Vigencia: 17/12/2014</w:t>
      </w:r>
    </w:p>
    <w:p w:rsidR="00076527" w:rsidRPr="00D21749" w:rsidRDefault="00076527" w:rsidP="00076527">
      <w:pPr>
        <w:spacing w:before="120" w:after="0" w:line="240" w:lineRule="auto"/>
        <w:ind w:left="70" w:right="70"/>
        <w:jc w:val="both"/>
        <w:rPr>
          <w:rFonts w:ascii="Verdana" w:eastAsia="Times New Roman" w:hAnsi="Verdana" w:cs="Times New Roman"/>
          <w:sz w:val="16"/>
          <w:szCs w:val="16"/>
          <w:lang w:eastAsia="es-AR"/>
        </w:rPr>
      </w:pPr>
      <w:r w:rsidRPr="00076527">
        <w:rPr>
          <w:rFonts w:ascii="Verdana" w:eastAsia="Times New Roman" w:hAnsi="Verdana" w:cs="Times New Roman"/>
          <w:sz w:val="16"/>
          <w:szCs w:val="16"/>
          <w:lang w:eastAsia="es-AR"/>
        </w:rPr>
        <w:t>Aplicación: desde el 1/1/2015</w:t>
      </w:r>
    </w:p>
    <w:sectPr w:rsidR="00076527" w:rsidRPr="00D21749" w:rsidSect="009F7956">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21749"/>
    <w:rsid w:val="00076527"/>
    <w:rsid w:val="00263ADC"/>
    <w:rsid w:val="00460E88"/>
    <w:rsid w:val="009F7956"/>
    <w:rsid w:val="00D21749"/>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95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21749"/>
    <w:pPr>
      <w:spacing w:before="70" w:after="70" w:line="240" w:lineRule="auto"/>
      <w:ind w:left="70" w:right="70"/>
    </w:pPr>
    <w:rPr>
      <w:rFonts w:ascii="Calibri" w:eastAsia="Times New Roman" w:hAnsi="Calibri" w:cs="Times New Roman"/>
      <w:sz w:val="24"/>
      <w:szCs w:val="24"/>
      <w:lang w:eastAsia="es-AR"/>
    </w:rPr>
  </w:style>
  <w:style w:type="paragraph" w:customStyle="1" w:styleId="textocpo10-derecha-autor">
    <w:name w:val="textocpo10-derecha-autor"/>
    <w:basedOn w:val="Normal"/>
    <w:rsid w:val="00D21749"/>
    <w:pPr>
      <w:spacing w:before="300" w:after="70" w:line="240" w:lineRule="auto"/>
      <w:ind w:left="70" w:right="70"/>
      <w:jc w:val="right"/>
    </w:pPr>
    <w:rPr>
      <w:rFonts w:ascii="Verdana" w:eastAsia="Times New Roman" w:hAnsi="Verdana" w:cs="Times New Roman"/>
      <w:b/>
      <w:bCs/>
      <w:sz w:val="20"/>
      <w:szCs w:val="20"/>
      <w:lang w:eastAsia="es-AR"/>
    </w:rPr>
  </w:style>
  <w:style w:type="paragraph" w:customStyle="1" w:styleId="titulocpo14-centrado-negrita">
    <w:name w:val="titulocpo14-centrado-negrita"/>
    <w:basedOn w:val="Normal"/>
    <w:rsid w:val="00D21749"/>
    <w:pPr>
      <w:spacing w:before="360" w:after="120" w:line="240" w:lineRule="auto"/>
      <w:ind w:left="70" w:right="70"/>
      <w:jc w:val="center"/>
    </w:pPr>
    <w:rPr>
      <w:rFonts w:ascii="Verdana" w:eastAsia="Times New Roman" w:hAnsi="Verdana" w:cs="Times New Roman"/>
      <w:b/>
      <w:bCs/>
      <w:sz w:val="24"/>
      <w:szCs w:val="24"/>
      <w:lang w:eastAsia="es-AR"/>
    </w:rPr>
  </w:style>
  <w:style w:type="paragraph" w:customStyle="1" w:styleId="titulocp11craya0">
    <w:name w:val="titulocp11craya0"/>
    <w:basedOn w:val="Normal"/>
    <w:rsid w:val="00D21749"/>
    <w:pPr>
      <w:pBdr>
        <w:bottom w:val="single" w:sz="8" w:space="0" w:color="000000"/>
      </w:pBdr>
      <w:spacing w:before="400" w:line="240" w:lineRule="auto"/>
      <w:ind w:left="70" w:right="70"/>
      <w:jc w:val="both"/>
    </w:pPr>
    <w:rPr>
      <w:rFonts w:ascii="Verdana" w:eastAsia="Times New Roman" w:hAnsi="Verdana" w:cs="Times New Roman"/>
      <w:b/>
      <w:bCs/>
      <w:lang w:eastAsia="es-AR"/>
    </w:rPr>
  </w:style>
  <w:style w:type="paragraph" w:customStyle="1" w:styleId="sangrianovedades">
    <w:name w:val="sangrianovedades"/>
    <w:basedOn w:val="Normal"/>
    <w:rsid w:val="00D21749"/>
    <w:pPr>
      <w:spacing w:before="80" w:after="70" w:line="240" w:lineRule="auto"/>
      <w:ind w:left="70" w:right="70" w:firstLine="70"/>
      <w:jc w:val="both"/>
    </w:pPr>
    <w:rPr>
      <w:rFonts w:ascii="Verdana" w:eastAsia="Times New Roman" w:hAnsi="Verdana" w:cs="Times New Roman"/>
      <w:sz w:val="16"/>
      <w:szCs w:val="16"/>
      <w:lang w:eastAsia="es-AR"/>
    </w:rPr>
  </w:style>
  <w:style w:type="paragraph" w:customStyle="1" w:styleId="errepar1erfrancesnovedades">
    <w:name w:val="errepar_1erfrancesnovedades"/>
    <w:basedOn w:val="Normal"/>
    <w:rsid w:val="00D21749"/>
    <w:pPr>
      <w:spacing w:before="80" w:after="70" w:line="240" w:lineRule="auto"/>
      <w:ind w:left="180" w:right="70"/>
      <w:jc w:val="both"/>
    </w:pPr>
    <w:rPr>
      <w:rFonts w:ascii="Verdana" w:eastAsia="Times New Roman" w:hAnsi="Verdana" w:cs="Times New Roman"/>
      <w:sz w:val="16"/>
      <w:szCs w:val="16"/>
      <w:lang w:eastAsia="es-AR"/>
    </w:rPr>
  </w:style>
  <w:style w:type="paragraph" w:customStyle="1" w:styleId="a1erfrances8novedades">
    <w:name w:val="a1erfrances8novedades"/>
    <w:basedOn w:val="Normal"/>
    <w:rsid w:val="00D21749"/>
    <w:pPr>
      <w:spacing w:before="70" w:after="70" w:line="240" w:lineRule="auto"/>
      <w:ind w:left="180" w:right="70"/>
      <w:jc w:val="both"/>
    </w:pPr>
    <w:rPr>
      <w:rFonts w:ascii="Verdana" w:eastAsia="Times New Roman" w:hAnsi="Verdana" w:cs="Times New Roman"/>
      <w:sz w:val="15"/>
      <w:szCs w:val="15"/>
      <w:lang w:eastAsia="es-AR"/>
    </w:rPr>
  </w:style>
  <w:style w:type="paragraph" w:customStyle="1" w:styleId="a2dofrances8novedades">
    <w:name w:val="a2dofrances8novedades"/>
    <w:basedOn w:val="Normal"/>
    <w:rsid w:val="00D21749"/>
    <w:pPr>
      <w:spacing w:before="70" w:after="70" w:line="240" w:lineRule="auto"/>
      <w:ind w:left="360" w:right="70"/>
      <w:jc w:val="both"/>
    </w:pPr>
    <w:rPr>
      <w:rFonts w:ascii="Verdana" w:eastAsia="Times New Roman" w:hAnsi="Verdana" w:cs="Times New Roman"/>
      <w:sz w:val="15"/>
      <w:szCs w:val="15"/>
      <w:lang w:eastAsia="es-AR"/>
    </w:rPr>
  </w:style>
  <w:style w:type="paragraph" w:customStyle="1" w:styleId="a3erfrances8novedades">
    <w:name w:val="a3erfrances8novedades"/>
    <w:basedOn w:val="Normal"/>
    <w:rsid w:val="00D21749"/>
    <w:pPr>
      <w:spacing w:before="70" w:after="70" w:line="240" w:lineRule="auto"/>
      <w:ind w:left="540" w:right="70"/>
      <w:jc w:val="both"/>
    </w:pPr>
    <w:rPr>
      <w:rFonts w:ascii="Verdana" w:eastAsia="Times New Roman" w:hAnsi="Verdana" w:cs="Times New Roman"/>
      <w:sz w:val="15"/>
      <w:szCs w:val="15"/>
      <w:lang w:eastAsia="es-AR"/>
    </w:rPr>
  </w:style>
  <w:style w:type="paragraph" w:customStyle="1" w:styleId="texto8novedades">
    <w:name w:val="texto8novedades"/>
    <w:basedOn w:val="Normal"/>
    <w:rsid w:val="00D21749"/>
    <w:pPr>
      <w:spacing w:before="70" w:after="70" w:line="240" w:lineRule="auto"/>
      <w:ind w:left="70" w:right="70"/>
      <w:jc w:val="both"/>
    </w:pPr>
    <w:rPr>
      <w:rFonts w:ascii="Verdana" w:eastAsia="Times New Roman" w:hAnsi="Verdana" w:cs="Times New Roman"/>
      <w:sz w:val="15"/>
      <w:szCs w:val="15"/>
      <w:lang w:eastAsia="es-AR"/>
    </w:rPr>
  </w:style>
  <w:style w:type="paragraph" w:customStyle="1" w:styleId="textoderechanovedades">
    <w:name w:val="textoderechanovedades"/>
    <w:basedOn w:val="Normal"/>
    <w:rsid w:val="00D21749"/>
    <w:pPr>
      <w:spacing w:before="120" w:after="70" w:line="240" w:lineRule="auto"/>
      <w:ind w:left="70" w:right="70"/>
      <w:jc w:val="right"/>
    </w:pPr>
    <w:rPr>
      <w:rFonts w:ascii="Verdana" w:eastAsia="Times New Roman" w:hAnsi="Verdana" w:cs="Times New Roman"/>
      <w:sz w:val="16"/>
      <w:szCs w:val="16"/>
      <w:lang w:eastAsia="es-AR"/>
    </w:rPr>
  </w:style>
  <w:style w:type="paragraph" w:customStyle="1" w:styleId="textonovedades">
    <w:name w:val="textonovedades"/>
    <w:basedOn w:val="Normal"/>
    <w:rsid w:val="00D21749"/>
    <w:pPr>
      <w:spacing w:before="120" w:after="70" w:line="240" w:lineRule="auto"/>
      <w:ind w:left="70" w:right="70"/>
      <w:jc w:val="both"/>
    </w:pPr>
    <w:rPr>
      <w:rFonts w:ascii="Verdana" w:eastAsia="Times New Roman" w:hAnsi="Verdana" w:cs="Times New Roman"/>
      <w:sz w:val="16"/>
      <w:szCs w:val="16"/>
      <w:lang w:eastAsia="es-AR"/>
    </w:rPr>
  </w:style>
  <w:style w:type="paragraph" w:customStyle="1" w:styleId="notasnovedades">
    <w:name w:val="notasnovedades"/>
    <w:basedOn w:val="Normal"/>
    <w:rsid w:val="00D21749"/>
    <w:pPr>
      <w:pBdr>
        <w:top w:val="single" w:sz="4" w:space="5" w:color="808080"/>
      </w:pBdr>
      <w:spacing w:before="400" w:after="70" w:line="240" w:lineRule="auto"/>
      <w:ind w:left="70" w:right="70"/>
      <w:jc w:val="both"/>
    </w:pPr>
    <w:rPr>
      <w:rFonts w:ascii="Verdana" w:eastAsia="Times New Roman" w:hAnsi="Verdana" w:cs="Times New Roman"/>
      <w:b/>
      <w:bCs/>
      <w:sz w:val="16"/>
      <w:szCs w:val="16"/>
      <w:lang w:eastAsia="es-AR"/>
    </w:rPr>
  </w:style>
  <w:style w:type="character" w:customStyle="1" w:styleId="cursivanovedades">
    <w:name w:val="cursivanovedades"/>
    <w:basedOn w:val="Fuentedeprrafopredeter"/>
    <w:rsid w:val="00D21749"/>
    <w:rPr>
      <w:rFonts w:ascii="Verdana" w:hAnsi="Verdana" w:hint="default"/>
      <w:i/>
      <w:iCs/>
    </w:rPr>
  </w:style>
  <w:style w:type="character" w:customStyle="1" w:styleId="negritacursivanovedades">
    <w:name w:val="negritacursivanovedades"/>
    <w:basedOn w:val="Fuentedeprrafopredeter"/>
    <w:rsid w:val="00D21749"/>
    <w:rPr>
      <w:rFonts w:ascii="Verdana" w:hAnsi="Verdana" w:hint="default"/>
      <w:b/>
      <w:bCs/>
      <w:i/>
      <w:iCs/>
    </w:rPr>
  </w:style>
  <w:style w:type="character" w:customStyle="1" w:styleId="negritanovedades">
    <w:name w:val="negritanovedades"/>
    <w:basedOn w:val="Fuentedeprrafopredeter"/>
    <w:rsid w:val="00D21749"/>
    <w:rPr>
      <w:b/>
      <w:bCs/>
    </w:rPr>
  </w:style>
  <w:style w:type="character" w:customStyle="1" w:styleId="hipervnculo">
    <w:name w:val="hipervnculo"/>
    <w:basedOn w:val="Fuentedeprrafopredeter"/>
    <w:rsid w:val="00D21749"/>
    <w:rPr>
      <w:color w:val="0000FF"/>
      <w:u w:val="single"/>
    </w:rPr>
  </w:style>
  <w:style w:type="paragraph" w:customStyle="1" w:styleId="rotulonovedades1">
    <w:name w:val="rotulonovedades1"/>
    <w:basedOn w:val="Normal"/>
    <w:rsid w:val="00D21749"/>
    <w:pPr>
      <w:spacing w:after="0" w:line="240" w:lineRule="auto"/>
      <w:ind w:left="70" w:right="70"/>
    </w:pPr>
    <w:rPr>
      <w:rFonts w:ascii="Verdana" w:eastAsia="Times New Roman" w:hAnsi="Verdana" w:cs="Times New Roman"/>
      <w:sz w:val="16"/>
      <w:szCs w:val="16"/>
      <w:lang w:eastAsia="es-AR"/>
    </w:rPr>
  </w:style>
  <w:style w:type="character" w:customStyle="1" w:styleId="highlight">
    <w:name w:val="highlight"/>
    <w:basedOn w:val="Fuentedeprrafopredeter"/>
    <w:rsid w:val="00D21749"/>
  </w:style>
  <w:style w:type="paragraph" w:customStyle="1" w:styleId="tablaizquierda81">
    <w:name w:val="tablaizquierda81"/>
    <w:basedOn w:val="Normal"/>
    <w:rsid w:val="00D21749"/>
    <w:pPr>
      <w:spacing w:after="0" w:line="240" w:lineRule="auto"/>
      <w:ind w:left="70" w:right="70"/>
      <w:jc w:val="both"/>
    </w:pPr>
    <w:rPr>
      <w:rFonts w:ascii="Verdana" w:eastAsia="Times New Roman" w:hAnsi="Verdana" w:cs="Times New Roman"/>
      <w:sz w:val="15"/>
      <w:szCs w:val="15"/>
      <w:lang w:eastAsia="es-AR"/>
    </w:rPr>
  </w:style>
  <w:style w:type="paragraph" w:customStyle="1" w:styleId="tituloconndestacado">
    <w:name w:val="tituloconndestacado"/>
    <w:basedOn w:val="Normal"/>
    <w:rsid w:val="00D21749"/>
    <w:pPr>
      <w:pBdr>
        <w:bottom w:val="single" w:sz="8" w:space="0" w:color="000000"/>
      </w:pBdr>
      <w:spacing w:before="300" w:line="240" w:lineRule="auto"/>
      <w:ind w:left="70" w:right="70"/>
      <w:jc w:val="both"/>
    </w:pPr>
    <w:rPr>
      <w:rFonts w:ascii="Verdana" w:eastAsia="Times New Roman" w:hAnsi="Verdana" w:cs="Times New Roman"/>
      <w:b/>
      <w:bCs/>
      <w:sz w:val="19"/>
      <w:szCs w:val="19"/>
      <w:lang w:eastAsia="es-AR"/>
    </w:rPr>
  </w:style>
  <w:style w:type="paragraph" w:customStyle="1" w:styleId="rotulonovedades2">
    <w:name w:val="rotulonovedades2"/>
    <w:basedOn w:val="Normal"/>
    <w:rsid w:val="00D21749"/>
    <w:pPr>
      <w:spacing w:after="0" w:line="240" w:lineRule="auto"/>
      <w:ind w:left="70" w:right="70"/>
    </w:pPr>
    <w:rPr>
      <w:rFonts w:ascii="Verdana" w:eastAsia="Times New Roman" w:hAnsi="Verdana" w:cs="Times New Roman"/>
      <w:sz w:val="16"/>
      <w:szCs w:val="16"/>
      <w:lang w:eastAsia="es-AR"/>
    </w:rPr>
  </w:style>
  <w:style w:type="paragraph" w:customStyle="1" w:styleId="errepar11-tipo-norma">
    <w:name w:val="errepar_11-tipo-norma"/>
    <w:basedOn w:val="Normal"/>
    <w:rsid w:val="00076527"/>
    <w:pPr>
      <w:pBdr>
        <w:top w:val="single" w:sz="4" w:space="0" w:color="000000"/>
      </w:pBdr>
      <w:spacing w:before="200" w:after="0" w:line="240" w:lineRule="auto"/>
      <w:ind w:left="70" w:right="70"/>
    </w:pPr>
    <w:rPr>
      <w:rFonts w:ascii="Verdana" w:eastAsia="Times New Roman" w:hAnsi="Verdana" w:cs="Times New Roman"/>
      <w:b/>
      <w:bCs/>
      <w:sz w:val="28"/>
      <w:szCs w:val="28"/>
      <w:lang w:eastAsia="es-AR"/>
    </w:rPr>
  </w:style>
  <w:style w:type="paragraph" w:customStyle="1" w:styleId="lineanueva">
    <w:name w:val="lineanueva"/>
    <w:basedOn w:val="Normal"/>
    <w:rsid w:val="00076527"/>
    <w:pPr>
      <w:pBdr>
        <w:bottom w:val="single" w:sz="4" w:space="10" w:color="000000"/>
      </w:pBdr>
      <w:spacing w:before="160" w:line="240" w:lineRule="auto"/>
      <w:ind w:left="70" w:right="70"/>
    </w:pPr>
    <w:rPr>
      <w:rFonts w:ascii="Verdana" w:eastAsia="Times New Roman" w:hAnsi="Verdana" w:cs="Times New Roman"/>
      <w:sz w:val="16"/>
      <w:szCs w:val="16"/>
      <w:lang w:eastAsia="es-AR"/>
    </w:rPr>
  </w:style>
  <w:style w:type="paragraph" w:customStyle="1" w:styleId="encabezadonovedades">
    <w:name w:val="encabezadonovedades"/>
    <w:basedOn w:val="Normal"/>
    <w:rsid w:val="00076527"/>
    <w:pPr>
      <w:spacing w:before="100" w:after="120" w:line="240" w:lineRule="auto"/>
      <w:ind w:left="70" w:right="70"/>
      <w:jc w:val="both"/>
    </w:pPr>
    <w:rPr>
      <w:rFonts w:ascii="Verdana" w:eastAsia="Times New Roman" w:hAnsi="Verdana" w:cs="Times New Roman"/>
      <w:b/>
      <w:bCs/>
      <w:sz w:val="20"/>
      <w:szCs w:val="20"/>
      <w:lang w:eastAsia="es-AR"/>
    </w:rPr>
  </w:style>
  <w:style w:type="paragraph" w:customStyle="1" w:styleId="analisis">
    <w:name w:val="analisis"/>
    <w:basedOn w:val="Normal"/>
    <w:rsid w:val="00076527"/>
    <w:pPr>
      <w:shd w:val="clear" w:color="auto" w:fill="000000"/>
      <w:spacing w:before="120" w:after="100" w:afterAutospacing="1" w:line="240" w:lineRule="auto"/>
      <w:ind w:left="70" w:right="70"/>
    </w:pPr>
    <w:rPr>
      <w:rFonts w:ascii="Verdana" w:eastAsia="Times New Roman" w:hAnsi="Verdana" w:cs="Times New Roman"/>
      <w:b/>
      <w:bCs/>
      <w:color w:val="FFFFFF"/>
      <w:sz w:val="16"/>
      <w:szCs w:val="16"/>
      <w:lang w:eastAsia="es-AR"/>
    </w:rPr>
  </w:style>
  <w:style w:type="character" w:customStyle="1" w:styleId="sumarionovedades">
    <w:name w:val="sumarionovedades"/>
    <w:basedOn w:val="Fuentedeprrafopredeter"/>
    <w:rsid w:val="00076527"/>
    <w:rPr>
      <w:rFonts w:ascii="Verdana" w:hAnsi="Verdana" w:hint="default"/>
      <w:i/>
      <w:iCs/>
      <w:sz w:val="16"/>
      <w:szCs w:val="16"/>
    </w:rPr>
  </w:style>
  <w:style w:type="paragraph" w:customStyle="1" w:styleId="textonovedades1">
    <w:name w:val="textonovedades1"/>
    <w:basedOn w:val="Normal"/>
    <w:rsid w:val="00076527"/>
    <w:pPr>
      <w:spacing w:before="120" w:after="0" w:line="240" w:lineRule="auto"/>
      <w:ind w:left="70" w:right="70"/>
      <w:jc w:val="both"/>
    </w:pPr>
    <w:rPr>
      <w:rFonts w:ascii="Verdana" w:eastAsia="Times New Roman" w:hAnsi="Verdana" w:cs="Times New Roman"/>
      <w:sz w:val="16"/>
      <w:szCs w:val="16"/>
      <w:lang w:eastAsia="es-AR"/>
    </w:rPr>
  </w:style>
  <w:style w:type="paragraph" w:styleId="Textodeglobo">
    <w:name w:val="Balloon Text"/>
    <w:basedOn w:val="Normal"/>
    <w:link w:val="TextodegloboCar"/>
    <w:uiPriority w:val="99"/>
    <w:semiHidden/>
    <w:unhideWhenUsed/>
    <w:rsid w:val="0007652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652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1441782">
      <w:bodyDiv w:val="1"/>
      <w:marLeft w:val="0"/>
      <w:marRight w:val="0"/>
      <w:marTop w:val="0"/>
      <w:marBottom w:val="0"/>
      <w:divBdr>
        <w:top w:val="none" w:sz="0" w:space="0" w:color="auto"/>
        <w:left w:val="none" w:sz="0" w:space="0" w:color="auto"/>
        <w:bottom w:val="none" w:sz="0" w:space="0" w:color="auto"/>
        <w:right w:val="none" w:sz="0" w:space="0" w:color="auto"/>
      </w:divBdr>
      <w:divsChild>
        <w:div w:id="1008943506">
          <w:marLeft w:val="0"/>
          <w:marRight w:val="0"/>
          <w:marTop w:val="0"/>
          <w:marBottom w:val="0"/>
          <w:divBdr>
            <w:top w:val="none" w:sz="0" w:space="0" w:color="auto"/>
            <w:left w:val="none" w:sz="0" w:space="0" w:color="auto"/>
            <w:bottom w:val="none" w:sz="0" w:space="0" w:color="auto"/>
            <w:right w:val="none" w:sz="0" w:space="0" w:color="auto"/>
          </w:divBdr>
        </w:div>
      </w:divsChild>
    </w:div>
    <w:div w:id="1784809797">
      <w:bodyDiv w:val="1"/>
      <w:marLeft w:val="0"/>
      <w:marRight w:val="0"/>
      <w:marTop w:val="0"/>
      <w:marBottom w:val="0"/>
      <w:divBdr>
        <w:top w:val="none" w:sz="0" w:space="0" w:color="auto"/>
        <w:left w:val="none" w:sz="0" w:space="0" w:color="auto"/>
        <w:bottom w:val="none" w:sz="0" w:space="0" w:color="auto"/>
        <w:right w:val="none" w:sz="0" w:space="0" w:color="auto"/>
      </w:divBdr>
      <w:divsChild>
        <w:div w:id="1294750622">
          <w:marLeft w:val="0"/>
          <w:marRight w:val="0"/>
          <w:marTop w:val="0"/>
          <w:marBottom w:val="0"/>
          <w:divBdr>
            <w:top w:val="none" w:sz="0" w:space="0" w:color="auto"/>
            <w:left w:val="none" w:sz="0" w:space="0" w:color="auto"/>
            <w:bottom w:val="none" w:sz="0" w:space="0" w:color="auto"/>
            <w:right w:val="none" w:sz="0" w:space="0" w:color="auto"/>
          </w:divBdr>
        </w:div>
      </w:divsChild>
    </w:div>
    <w:div w:id="1795173192">
      <w:bodyDiv w:val="1"/>
      <w:marLeft w:val="0"/>
      <w:marRight w:val="0"/>
      <w:marTop w:val="0"/>
      <w:marBottom w:val="0"/>
      <w:divBdr>
        <w:top w:val="none" w:sz="0" w:space="0" w:color="auto"/>
        <w:left w:val="none" w:sz="0" w:space="0" w:color="auto"/>
        <w:bottom w:val="none" w:sz="0" w:space="0" w:color="auto"/>
        <w:right w:val="none" w:sz="0" w:space="0" w:color="auto"/>
      </w:divBdr>
      <w:divsChild>
        <w:div w:id="780689614">
          <w:marLeft w:val="0"/>
          <w:marRight w:val="0"/>
          <w:marTop w:val="0"/>
          <w:marBottom w:val="0"/>
          <w:divBdr>
            <w:top w:val="none" w:sz="0" w:space="0" w:color="auto"/>
            <w:left w:val="none" w:sz="0" w:space="0" w:color="auto"/>
            <w:bottom w:val="none" w:sz="0" w:space="0" w:color="auto"/>
            <w:right w:val="none" w:sz="0" w:space="0" w:color="auto"/>
          </w:divBdr>
          <w:divsChild>
            <w:div w:id="114939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olgestion.errepar.com/sitios/eolgestion/Legislacion/20141217144431454.docxhtml" TargetMode="External"/><Relationship Id="rId3" Type="http://schemas.openxmlformats.org/officeDocument/2006/relationships/webSettings" Target="webSettings.xml"/><Relationship Id="rId7" Type="http://schemas.openxmlformats.org/officeDocument/2006/relationships/hyperlink" Target="http://www.agip.gob.a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ol.errepar.com/sitios/ver/html/20141223114119299.html?k=INGRESOS%20BRUTOS.%20EL%20SISTEMA%20DE%20EXCLUSION%20DE%20RECAUDACIONES%20PREVISTO%20POR%20LA%20CIUDAD%20DE%20BUENOS%20AIRES" TargetMode="External"/><Relationship Id="rId11" Type="http://schemas.openxmlformats.org/officeDocument/2006/relationships/theme" Target="theme/theme1.xml"/><Relationship Id="rId5" Type="http://schemas.openxmlformats.org/officeDocument/2006/relationships/hyperlink" Target="http://eol.errepar.com/sitios/ver/html/20141223114119299.html?k=INGRESOS%20BRUTOS.%20EL%20SISTEMA%20DE%20EXCLUSION%20DE%20RECAUDACIONES%20PREVISTO%20POR%20LA%20CIUDAD%20DE%20BUENOS%20AIRES" TargetMode="External"/><Relationship Id="rId10" Type="http://schemas.openxmlformats.org/officeDocument/2006/relationships/fontTable" Target="fontTable.xml"/><Relationship Id="rId4" Type="http://schemas.openxmlformats.org/officeDocument/2006/relationships/hyperlink" Target="http://eol.errepar.com/sitios/ver/html/20141223114119299.html?k=INGRESOS%20BRUTOS.%20EL%20SISTEMA%20DE%20EXCLUSION%20DE%20RECAUDACIONES%20PREVISTO%20POR%20LA%20CIUDAD%20DE%20BUENOS%20AIRES" TargetMode="External"/><Relationship Id="rId9" Type="http://schemas.openxmlformats.org/officeDocument/2006/relationships/hyperlink" Target="http://eol.errepar.com/sitios/ver/html/20141217144431454.html?k=resoluci&#243;n%20(AGIP%20Bs.%20As.%20cdad.)%20816/2014"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4108</Words>
  <Characters>22594</Characters>
  <Application>Microsoft Office Word</Application>
  <DocSecurity>0</DocSecurity>
  <Lines>188</Lines>
  <Paragraphs>53</Paragraphs>
  <ScaleCrop>false</ScaleCrop>
  <Company>www.intercambiosvirtuales.org</Company>
  <LinksUpToDate>false</LinksUpToDate>
  <CharactersWithSpaces>26649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www.intercambiosvirtuales.org</cp:lastModifiedBy>
  <cp:revision>2</cp:revision>
  <dcterms:created xsi:type="dcterms:W3CDTF">2016-10-12T15:04:00Z</dcterms:created>
  <dcterms:modified xsi:type="dcterms:W3CDTF">2016-10-12T15:04:00Z</dcterms:modified>
</cp:coreProperties>
</file>