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56" w:rsidRDefault="009F7956"/>
    <w:p w:rsidR="00C5018E" w:rsidRPr="00C5018E" w:rsidRDefault="00C5018E" w:rsidP="00C5018E">
      <w:pPr>
        <w:spacing w:before="300" w:after="70" w:line="240" w:lineRule="auto"/>
        <w:ind w:left="70" w:right="70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>JOSÉ ANTONIO ALANIZ</w:t>
      </w:r>
    </w:p>
    <w:p w:rsidR="00C5018E" w:rsidRPr="00C5018E" w:rsidRDefault="00C5018E" w:rsidP="00C5018E">
      <w:pPr>
        <w:spacing w:before="360" w:after="12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sz w:val="24"/>
          <w:szCs w:val="24"/>
          <w:lang w:eastAsia="es-AR"/>
        </w:rPr>
        <w:t>CIUDAD AUTÓNOMA DE BUENOS AIRES. INGRESOS BRUTOS. MEDULAR REFORMA DEL RÉGIMEN GENERAL DE PERCEPCIÓN</w:t>
      </w:r>
    </w:p>
    <w:p w:rsidR="00C5018E" w:rsidRPr="00C5018E" w:rsidRDefault="00C5018E" w:rsidP="00C5018E">
      <w:pPr>
        <w:spacing w:before="4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lang w:eastAsia="es-AR"/>
        </w:rPr>
        <w:t>CUANDO LAS ANSIAS POR LA RECAUDACIÓN SUPERAN LA RAZONABILIDAD</w:t>
      </w:r>
    </w:p>
    <w:p w:rsidR="00C5018E" w:rsidRPr="00C5018E" w:rsidRDefault="00C5018E" w:rsidP="00C5018E">
      <w:pPr>
        <w:pBdr>
          <w:bottom w:val="single" w:sz="8" w:space="0" w:color="000000"/>
        </w:pBdr>
        <w:spacing w:before="400" w:line="240" w:lineRule="auto"/>
        <w:ind w:left="70" w:right="70"/>
        <w:jc w:val="both"/>
        <w:rPr>
          <w:rFonts w:ascii="Verdana" w:eastAsia="Times New Roman" w:hAnsi="Verdana" w:cs="Times New Roman"/>
          <w:b/>
          <w:bCs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lang w:eastAsia="es-AR"/>
        </w:rPr>
        <w:t>I - INTRODUCCIÓN</w:t>
      </w:r>
    </w:p>
    <w:p w:rsidR="00C5018E" w:rsidRPr="00C5018E" w:rsidRDefault="00C5018E" w:rsidP="00C5018E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>En materia de impuestos provinciales -mientras que por injustos saldos a favor del impuesto sobre los ingresos brutos procuramos que se declare la inconstitucionalidad del régimen de percepción</w:t>
      </w:r>
      <w:hyperlink r:id="rId4" w:anchor="PAT_reforma_Q1" w:tgtFrame="_self" w:history="1">
        <w:r w:rsidRPr="00C5018E">
          <w:rPr>
            <w:rFonts w:ascii="Verdana" w:eastAsia="Times New Roman" w:hAnsi="Verdana" w:cs="Times New Roman"/>
            <w:color w:val="0000FF"/>
            <w:sz w:val="12"/>
            <w:u w:val="single"/>
            <w:lang w:eastAsia="es-AR"/>
          </w:rPr>
          <w:t>(1)</w:t>
        </w:r>
      </w:hyperlink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>- advertimos cómo una de las principales jurisdicciones del país amplía su aplicación.</w:t>
      </w:r>
    </w:p>
    <w:p w:rsidR="00C5018E" w:rsidRPr="00C5018E" w:rsidRDefault="00C5018E" w:rsidP="00C5018E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 xml:space="preserve">Efectivamente, la Ciudad Autónoma de Buenos Aires, a través de la </w:t>
      </w:r>
      <w:hyperlink r:id="rId5" w:tgtFrame="_blank" w:history="1">
        <w:r w:rsidRPr="00C5018E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s-AR"/>
          </w:rPr>
          <w:t>resolución (</w:t>
        </w:r>
        <w:proofErr w:type="spellStart"/>
        <w:r w:rsidRPr="00C5018E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s-AR"/>
          </w:rPr>
          <w:t>AGIP</w:t>
        </w:r>
        <w:proofErr w:type="spellEnd"/>
        <w:r w:rsidRPr="00C5018E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s-AR"/>
          </w:rPr>
          <w:t>) 421/2016</w:t>
        </w:r>
      </w:hyperlink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>, patea el tablero e impone que de ahora en más la percepción del impuesto sobre los ingresos brutos se debe realizar también, por las operaciones materializadas, fuera de la Comuna.</w:t>
      </w:r>
    </w:p>
    <w:p w:rsidR="00C5018E" w:rsidRPr="00C5018E" w:rsidRDefault="00C5018E" w:rsidP="00C5018E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>Hasta el 5/9/2016, cuando resolvíamos sobre regímenes de recaudación frente a las distintas jurisdicciones del país, oponíamos la legislación de la Ciudad -por razonable-, porque se tenía en cuenta -para su procedencia- que la mercadería se entregue -o el servicio y/o prestación se desarrolle- efectivamente en el ámbito territorial de la Ciudad Autónoma de Buenos Aires. Ahora bien, a través de la indicada legislación, la Administración General de Ingresos Públicos (</w:t>
      </w:r>
      <w:proofErr w:type="spellStart"/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>AGIP</w:t>
      </w:r>
      <w:proofErr w:type="spellEnd"/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>) fulmina el alcance restringido de la percepción, aquel que resultaba acertado y que siempre destacamos.</w:t>
      </w:r>
    </w:p>
    <w:p w:rsidR="00C5018E" w:rsidRPr="00C5018E" w:rsidRDefault="00C5018E" w:rsidP="00C5018E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>Como he expresado al principio, ello va en contramano con las sentencias judiciales que dictaminan sobre la improcedencia del régimen de percepción en materia de impuesto sobre los ingresos brutos.</w:t>
      </w:r>
    </w:p>
    <w:p w:rsidR="00A56D82" w:rsidRDefault="00A56D82" w:rsidP="00A56D82">
      <w:pPr>
        <w:rPr>
          <w:rFonts w:ascii="Verdana" w:eastAsia="Times New Roman" w:hAnsi="Verdana" w:cs="Times New Roman"/>
          <w:b/>
          <w:bCs/>
          <w:lang w:eastAsia="es-AR"/>
        </w:rPr>
      </w:pPr>
    </w:p>
    <w:p w:rsidR="00C5018E" w:rsidRPr="00C5018E" w:rsidRDefault="00C5018E" w:rsidP="00A56D82">
      <w:pPr>
        <w:rPr>
          <w:rFonts w:ascii="Verdana" w:eastAsia="Times New Roman" w:hAnsi="Verdana" w:cs="Times New Roman"/>
          <w:b/>
          <w:bCs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lang w:eastAsia="es-AR"/>
        </w:rPr>
        <w:t>II - PERCEPCIÓN. ÁMBITO DE APLICACIÓN. LA MUTACIÓN DE UN RÉGIMEN RESTRICTIVO A UN RÉGIMEN AMPLIO</w:t>
      </w:r>
    </w:p>
    <w:p w:rsidR="00C5018E" w:rsidRPr="00C5018E" w:rsidRDefault="00C5018E" w:rsidP="00C5018E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 xml:space="preserve">En una nueva obra de mi autoría -realizada a través de </w:t>
      </w:r>
      <w:proofErr w:type="spellStart"/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>ERREPAR</w:t>
      </w:r>
      <w:proofErr w:type="spellEnd"/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>-, al abordar el Régimen General de Percepción del Impuesto sobre los Ingresos Brutos por la Ciudad Autónoma de Buenos Aires</w:t>
      </w:r>
      <w:hyperlink r:id="rId6" w:anchor="PAT_reforma_Q2" w:tgtFrame="_self" w:history="1">
        <w:r w:rsidRPr="00C5018E">
          <w:rPr>
            <w:rFonts w:ascii="Verdana" w:eastAsia="Times New Roman" w:hAnsi="Verdana" w:cs="Times New Roman"/>
            <w:color w:val="0000FF"/>
            <w:sz w:val="12"/>
            <w:u w:val="single"/>
            <w:lang w:eastAsia="es-AR"/>
          </w:rPr>
          <w:t>(2)</w:t>
        </w:r>
      </w:hyperlink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>, tuvimos que definir el ámbito de aplicación y denotar con ello el nuevo esquema recaudatorio en la Comuna:</w:t>
      </w:r>
    </w:p>
    <w:p w:rsidR="00BD1469" w:rsidRPr="00C5018E" w:rsidRDefault="00C5018E" w:rsidP="00BD1469">
      <w:pPr>
        <w:spacing w:before="300" w:after="120" w:line="240" w:lineRule="auto"/>
        <w:ind w:left="70" w:right="7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OPERACIONES ALCANZADAS</w:t>
      </w:r>
      <w:hyperlink r:id="rId7" w:anchor="PAT_reforma_Q3" w:tgtFrame="_self" w:history="1">
        <w:r w:rsidRPr="00C5018E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  <w:lang w:eastAsia="es-AR"/>
          </w:rPr>
          <w:t>(3)</w:t>
        </w:r>
      </w:hyperlink>
      <w:r w:rsidRPr="00C5018E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</w:t>
      </w:r>
    </w:p>
    <w:p w:rsidR="00C5018E" w:rsidRPr="00C5018E" w:rsidRDefault="00C5018E" w:rsidP="00BD1469">
      <w:pPr>
        <w:shd w:val="clear" w:color="auto" w:fill="FFFF00"/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De aplicación a partir del 1/11/2016</w:t>
      </w:r>
    </w:p>
    <w:p w:rsidR="00C5018E" w:rsidRPr="00BD1469" w:rsidRDefault="00C5018E" w:rsidP="00BD1469">
      <w:pPr>
        <w:shd w:val="clear" w:color="auto" w:fill="FFFF00"/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>* Las operaciones de ventas, locaciones y/o prestaciones de servicios.</w:t>
      </w:r>
    </w:p>
    <w:p w:rsidR="00BD1469" w:rsidRDefault="00BD1469" w:rsidP="00BD1469">
      <w:pPr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</w:p>
    <w:p w:rsidR="00C5018E" w:rsidRPr="00C5018E" w:rsidRDefault="00C5018E" w:rsidP="00BD1469">
      <w:pPr>
        <w:shd w:val="clear" w:color="auto" w:fill="F2F2F2" w:themeFill="background1" w:themeFillShade="F2"/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De aplicación hasta el 31/10/2016</w:t>
      </w:r>
    </w:p>
    <w:p w:rsidR="00C5018E" w:rsidRPr="00BD1469" w:rsidRDefault="00C5018E" w:rsidP="00BD1469">
      <w:pPr>
        <w:shd w:val="clear" w:color="auto" w:fill="F2F2F2" w:themeFill="background1" w:themeFillShade="F2"/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 xml:space="preserve">* Las operaciones de ventas, locaciones y prestaciones que se celebren en el ámbito de la Ciudad Autónoma de Buenos Aires. </w:t>
      </w:r>
    </w:p>
    <w:p w:rsidR="00C5018E" w:rsidRPr="00BD1469" w:rsidRDefault="00C5018E" w:rsidP="00BD1469">
      <w:pPr>
        <w:shd w:val="clear" w:color="auto" w:fill="F2F2F2" w:themeFill="background1" w:themeFillShade="F2"/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i/>
          <w:iCs/>
          <w:sz w:val="24"/>
          <w:szCs w:val="24"/>
          <w:lang w:eastAsia="es-AR"/>
        </w:rPr>
        <w:t>Territorialidad</w:t>
      </w:r>
    </w:p>
    <w:p w:rsidR="00C5018E" w:rsidRPr="00BD1469" w:rsidRDefault="00C5018E" w:rsidP="00BD1469">
      <w:pPr>
        <w:shd w:val="clear" w:color="auto" w:fill="F2F2F2" w:themeFill="background1" w:themeFillShade="F2"/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 xml:space="preserve">Comprende toda adquisición, locación o prestación efectuada sobre bienes, cosas o personas que se </w:t>
      </w:r>
      <w:proofErr w:type="spellStart"/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>recepcionen</w:t>
      </w:r>
      <w:proofErr w:type="spellEnd"/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o sitúen en sedes, depósitos, establecimientos, locales o cualquier otro tipo de </w:t>
      </w: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lastRenderedPageBreak/>
        <w:t>asentamiento dentro del ámbito de la Ciudad Autónoma de Buenos Aires.</w:t>
      </w:r>
    </w:p>
    <w:p w:rsidR="00C5018E" w:rsidRPr="00BD1469" w:rsidRDefault="00C5018E" w:rsidP="00BD1469">
      <w:pPr>
        <w:shd w:val="clear" w:color="auto" w:fill="F2F2F2" w:themeFill="background1" w:themeFillShade="F2"/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i/>
          <w:iCs/>
          <w:sz w:val="24"/>
          <w:szCs w:val="24"/>
          <w:lang w:eastAsia="es-AR"/>
        </w:rPr>
        <w:t>Depósito en empresa de transporte</w:t>
      </w:r>
    </w:p>
    <w:p w:rsidR="00C5018E" w:rsidRPr="00BD1469" w:rsidRDefault="00C5018E" w:rsidP="00BD1469">
      <w:pPr>
        <w:shd w:val="clear" w:color="auto" w:fill="F2F2F2" w:themeFill="background1" w:themeFillShade="F2"/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>No corresponde aplicar la percepción sobre las operaciones de compra de bienes cuya recepción sea efectuada en depósitos de empresas de transporte para su envío exclusivamente a adquirentes situados fuera de la jurisdicción de la Ciudad Autónoma de Buenos Aires, conforme a la documentación de respaldo.</w:t>
      </w:r>
    </w:p>
    <w:p w:rsidR="00C5018E" w:rsidRPr="00BD1469" w:rsidRDefault="00C5018E" w:rsidP="00BD1469">
      <w:pPr>
        <w:shd w:val="clear" w:color="auto" w:fill="F2F2F2" w:themeFill="background1" w:themeFillShade="F2"/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i/>
          <w:iCs/>
          <w:sz w:val="24"/>
          <w:szCs w:val="24"/>
          <w:lang w:eastAsia="es-AR"/>
        </w:rPr>
        <w:t>Locaciones y prestaciones que se realicen parcialmente en la ciudad</w:t>
      </w:r>
    </w:p>
    <w:p w:rsidR="00C5018E" w:rsidRPr="00BD1469" w:rsidRDefault="00C5018E" w:rsidP="00BD1469">
      <w:pPr>
        <w:shd w:val="clear" w:color="auto" w:fill="F2F2F2" w:themeFill="background1" w:themeFillShade="F2"/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 xml:space="preserve">En los casos de locaciones y prestaciones que se realicen parcialmente en el ámbito de la Ciudad Autónoma de Buenos Aires y en el que el valor de las ejecutadas en esta jurisdicción no se encuentre </w:t>
      </w:r>
      <w:proofErr w:type="gramStart"/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>discriminado</w:t>
      </w:r>
      <w:proofErr w:type="gramEnd"/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en la factura o documento equivalente, la percepción corresponderá sobre el total de lo facturado.</w:t>
      </w:r>
    </w:p>
    <w:p w:rsidR="00C5018E" w:rsidRPr="00BD1469" w:rsidRDefault="00C5018E" w:rsidP="00BD1469">
      <w:pPr>
        <w:shd w:val="clear" w:color="auto" w:fill="F2F2F2" w:themeFill="background1" w:themeFillShade="F2"/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b/>
          <w:bCs/>
          <w:sz w:val="24"/>
          <w:szCs w:val="24"/>
          <w:lang w:eastAsia="es-AR"/>
        </w:rPr>
        <w:t>“A contrario sensu”</w:t>
      </w:r>
    </w:p>
    <w:p w:rsidR="00C5018E" w:rsidRPr="00BD1469" w:rsidRDefault="00C5018E" w:rsidP="00BD1469">
      <w:pPr>
        <w:shd w:val="clear" w:color="auto" w:fill="F2F2F2" w:themeFill="background1" w:themeFillShade="F2"/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>Si se discrimina, solo corresponde la percepción por la actividad desarrollada efectivamente en la Ciudad Autónoma de Buenos Aires.</w:t>
      </w:r>
    </w:p>
    <w:p w:rsidR="00C5018E" w:rsidRPr="00BD1469" w:rsidRDefault="00C5018E" w:rsidP="00BD1469">
      <w:pPr>
        <w:shd w:val="clear" w:color="auto" w:fill="F2F2F2" w:themeFill="background1" w:themeFillShade="F2"/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i/>
          <w:iCs/>
          <w:sz w:val="24"/>
          <w:szCs w:val="24"/>
          <w:lang w:eastAsia="es-AR"/>
        </w:rPr>
        <w:t>Territorialidad</w:t>
      </w:r>
    </w:p>
    <w:p w:rsidR="00BD1469" w:rsidRPr="00BD1469" w:rsidRDefault="00C5018E" w:rsidP="00BD1469">
      <w:pPr>
        <w:shd w:val="clear" w:color="auto" w:fill="F2F2F2" w:themeFill="background1" w:themeFillShade="F2"/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>El presente régimen solo resulta aplicable cuando la entrega de las cosas muebles o la locación de las cosas, obras o servicios -o la prestación de servicios- se realiza en la jurisdicción de la Ciudad Autónoma de Buenos Aires.</w:t>
      </w:r>
    </w:p>
    <w:p w:rsidR="00BD1469" w:rsidRPr="00C5018E" w:rsidRDefault="00BD1469" w:rsidP="00A56D82">
      <w:pPr>
        <w:rPr>
          <w:rFonts w:ascii="Verdana" w:eastAsia="Times New Roman" w:hAnsi="Verdana" w:cs="Times New Roman"/>
          <w:sz w:val="16"/>
          <w:szCs w:val="16"/>
          <w:lang w:eastAsia="es-AR"/>
        </w:rPr>
      </w:pPr>
    </w:p>
    <w:p w:rsidR="00BD1469" w:rsidRPr="00A56D82" w:rsidRDefault="00C5018E" w:rsidP="00A56D82">
      <w:pPr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s-AR"/>
        </w:rPr>
        <w:t>Solapadamente un cambio radical</w:t>
      </w:r>
    </w:p>
    <w:p w:rsidR="00BD1469" w:rsidRPr="00BD1469" w:rsidRDefault="00C5018E" w:rsidP="00A56D82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 xml:space="preserve">Como se advierte, se </w:t>
      </w:r>
      <w:r w:rsidRPr="00BD1469">
        <w:rPr>
          <w:rFonts w:ascii="Verdana" w:eastAsia="Times New Roman" w:hAnsi="Verdana" w:cs="Times New Roman"/>
          <w:b/>
          <w:sz w:val="24"/>
          <w:szCs w:val="24"/>
          <w:u w:val="single"/>
          <w:lang w:eastAsia="es-AR"/>
        </w:rPr>
        <w:t>elimina de ahora en más la cláusula</w:t>
      </w: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necesaria para que proceda la percepción: que las operaciones de venta, locaciones y prestaciones </w:t>
      </w:r>
      <w:r w:rsidRPr="00BD1469">
        <w:rPr>
          <w:rFonts w:ascii="Verdana" w:eastAsia="Times New Roman" w:hAnsi="Verdana" w:cs="Times New Roman"/>
          <w:i/>
          <w:iCs/>
          <w:sz w:val="24"/>
          <w:szCs w:val="24"/>
          <w:lang w:eastAsia="es-AR"/>
        </w:rPr>
        <w:t>se celebren en el ámbito de la Ciudad Autónoma de Buenos Aires</w:t>
      </w: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>.</w:t>
      </w:r>
    </w:p>
    <w:p w:rsidR="00BD1469" w:rsidRPr="00BD1469" w:rsidRDefault="00C5018E" w:rsidP="00A56D82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>Asimismo, se quitan las -a nuestro juicio- justas contemplaciones previstas desde los orígenes del régimen perceptivo, como ser:</w:t>
      </w:r>
    </w:p>
    <w:p w:rsidR="00BD1469" w:rsidRPr="00BD1469" w:rsidRDefault="00C5018E" w:rsidP="00A56D82">
      <w:pPr>
        <w:spacing w:before="80" w:after="70" w:line="240" w:lineRule="auto"/>
        <w:ind w:left="18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 xml:space="preserve">- la no procedencia de la percepción sobre las operaciones de compra de bienes cuya recepción sea </w:t>
      </w:r>
      <w:r w:rsidRPr="00BD1469">
        <w:rPr>
          <w:rFonts w:ascii="Verdana" w:eastAsia="Times New Roman" w:hAnsi="Verdana" w:cs="Times New Roman"/>
          <w:b/>
          <w:sz w:val="24"/>
          <w:szCs w:val="24"/>
          <w:u w:val="single"/>
          <w:lang w:eastAsia="es-AR"/>
        </w:rPr>
        <w:t>efectuada en depósitos de empresas de transporte para su envío</w:t>
      </w: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exclusivamente a adquirentes situados fuera de la jurisdicción de la Ciudad Autónoma de Buenos Aires, conforme a la documentación de respaldo;</w:t>
      </w:r>
    </w:p>
    <w:p w:rsidR="00C5018E" w:rsidRPr="00BD1469" w:rsidRDefault="00C5018E" w:rsidP="00C5018E">
      <w:pPr>
        <w:spacing w:before="80" w:after="70" w:line="240" w:lineRule="auto"/>
        <w:ind w:left="18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 xml:space="preserve">- </w:t>
      </w:r>
      <w:r w:rsidRPr="00BD1469">
        <w:rPr>
          <w:rFonts w:ascii="Verdana" w:eastAsia="Times New Roman" w:hAnsi="Verdana" w:cs="Times New Roman"/>
          <w:b/>
          <w:sz w:val="24"/>
          <w:szCs w:val="24"/>
          <w:u w:val="single"/>
          <w:lang w:eastAsia="es-AR"/>
        </w:rPr>
        <w:t>la percepción parcial</w:t>
      </w: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sobre locaciones y prestaciones que se realicen parcialmente en el ámbito de la Ciudad Autónoma de Buenos Aires, excluyendo con ello el valor de las ejecutadas en otras jurisdicciones.</w:t>
      </w:r>
    </w:p>
    <w:p w:rsidR="00C5018E" w:rsidRPr="00C5018E" w:rsidRDefault="00BD1469" w:rsidP="00A56D82">
      <w:pPr>
        <w:rPr>
          <w:rFonts w:ascii="Verdana" w:eastAsia="Times New Roman" w:hAnsi="Verdana" w:cs="Times New Roman"/>
          <w:b/>
          <w:bCs/>
          <w:lang w:eastAsia="es-AR"/>
        </w:rPr>
      </w:pPr>
      <w:r>
        <w:rPr>
          <w:rFonts w:ascii="Verdana" w:eastAsia="Times New Roman" w:hAnsi="Verdana" w:cs="Times New Roman"/>
          <w:b/>
          <w:bCs/>
          <w:lang w:eastAsia="es-AR"/>
        </w:rPr>
        <w:br w:type="page"/>
      </w:r>
      <w:r w:rsidR="00C5018E" w:rsidRPr="00C5018E">
        <w:rPr>
          <w:rFonts w:ascii="Verdana" w:eastAsia="Times New Roman" w:hAnsi="Verdana" w:cs="Times New Roman"/>
          <w:b/>
          <w:bCs/>
          <w:lang w:eastAsia="es-AR"/>
        </w:rPr>
        <w:lastRenderedPageBreak/>
        <w:t>III - LOS NUEVOS AGENTES DE PERCEPCIÓN</w:t>
      </w:r>
    </w:p>
    <w:p w:rsidR="00C5018E" w:rsidRPr="00C5018E" w:rsidRDefault="00C5018E" w:rsidP="00C5018E">
      <w:pPr>
        <w:spacing w:before="300" w:after="120" w:line="240" w:lineRule="auto"/>
        <w:ind w:left="70" w:right="7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AGENTES DE PERCEPCIÓN</w:t>
      </w:r>
      <w:hyperlink r:id="rId8" w:anchor="PAT_reforma_Q4" w:tgtFrame="_self" w:history="1">
        <w:r w:rsidRPr="00C5018E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  <w:lang w:eastAsia="es-AR"/>
          </w:rPr>
          <w:t>(4)</w:t>
        </w:r>
      </w:hyperlink>
      <w:r w:rsidRPr="00C5018E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</w:t>
      </w:r>
    </w:p>
    <w:p w:rsidR="00C5018E" w:rsidRDefault="00C5018E" w:rsidP="00C5018E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C37A3C">
        <w:rPr>
          <w:rFonts w:ascii="Verdana" w:eastAsia="Times New Roman" w:hAnsi="Verdana" w:cs="Times New Roman"/>
          <w:sz w:val="24"/>
          <w:szCs w:val="24"/>
          <w:lang w:eastAsia="es-AR"/>
        </w:rPr>
        <w:t xml:space="preserve">Con vigencia desde el 1/11/2016, van a ser notificados por la </w:t>
      </w:r>
      <w:proofErr w:type="spellStart"/>
      <w:r w:rsidRPr="00C37A3C">
        <w:rPr>
          <w:rFonts w:ascii="Verdana" w:eastAsia="Times New Roman" w:hAnsi="Verdana" w:cs="Times New Roman"/>
          <w:sz w:val="24"/>
          <w:szCs w:val="24"/>
          <w:lang w:eastAsia="es-AR"/>
        </w:rPr>
        <w:t>AGIP</w:t>
      </w:r>
      <w:proofErr w:type="spellEnd"/>
      <w:r w:rsidRPr="00C37A3C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como agentes de percepción los siguientes:</w:t>
      </w:r>
    </w:p>
    <w:p w:rsidR="00C37A3C" w:rsidRPr="00C37A3C" w:rsidRDefault="00C37A3C" w:rsidP="00C5018E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</w:p>
    <w:p w:rsidR="00C5018E" w:rsidRPr="00BD1469" w:rsidRDefault="00C5018E" w:rsidP="00C5018E">
      <w:pPr>
        <w:spacing w:before="80" w:after="70" w:line="240" w:lineRule="auto"/>
        <w:ind w:left="18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>- Los sujetos que desarrollen actividades en la Ciudad Autónoma de Buenos Aires que hubieran obtenido en el año calendario inmediato anterior ingresos por un monto superior a los $ 60.000.000; a tales fines deberán considerarse los ingresos gravados, exentos y no gravados correspondientes a todas las jurisdicciones, netos de impuestos.</w:t>
      </w:r>
    </w:p>
    <w:p w:rsidR="00C5018E" w:rsidRDefault="00C5018E" w:rsidP="00C5018E">
      <w:pPr>
        <w:spacing w:before="80" w:after="70" w:line="240" w:lineRule="auto"/>
        <w:ind w:left="18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C37A3C">
        <w:rPr>
          <w:rFonts w:ascii="Verdana" w:eastAsia="Times New Roman" w:hAnsi="Verdana" w:cs="Times New Roman"/>
          <w:i/>
          <w:iCs/>
          <w:sz w:val="24"/>
          <w:szCs w:val="24"/>
          <w:u w:val="single"/>
          <w:lang w:eastAsia="es-AR"/>
        </w:rPr>
        <w:t>Territorialidad</w:t>
      </w:r>
      <w:r w:rsidRPr="00BD1469">
        <w:rPr>
          <w:rFonts w:ascii="Verdana" w:eastAsia="Times New Roman" w:hAnsi="Verdana" w:cs="Times New Roman"/>
          <w:i/>
          <w:iCs/>
          <w:sz w:val="24"/>
          <w:szCs w:val="24"/>
          <w:lang w:eastAsia="es-AR"/>
        </w:rPr>
        <w:t>:</w:t>
      </w: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se considera que desarrollan actividades en la Ciudad Autónoma de Buenos Aires aquellos sujetos que posean en la ciudad sucursales, agencias, representaciones, oficinas, locales y todo otro tipo de establecimiento, explotación, edificio, obra, depósito o similar y quienes se valgan, para el ejercicio de su actividad en el territorio de la Ciudad Autónoma de Buenos Aires, de los servicios de comisionistas, corredores, consignatarios o martilleros.</w:t>
      </w:r>
    </w:p>
    <w:p w:rsidR="00C37A3C" w:rsidRPr="00BD1469" w:rsidRDefault="00C37A3C" w:rsidP="00C5018E">
      <w:pPr>
        <w:spacing w:before="80" w:after="70" w:line="240" w:lineRule="auto"/>
        <w:ind w:left="18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</w:p>
    <w:p w:rsidR="00C5018E" w:rsidRPr="00BD1469" w:rsidRDefault="00C5018E" w:rsidP="00C5018E">
      <w:pPr>
        <w:spacing w:before="80" w:after="70" w:line="240" w:lineRule="auto"/>
        <w:ind w:left="18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 xml:space="preserve">- Los sujetos que se encuentren mencionados en la nómina que comprende el </w:t>
      </w:r>
      <w:r w:rsidRPr="00BD1469">
        <w:rPr>
          <w:rFonts w:ascii="Verdana" w:eastAsia="Times New Roman" w:hAnsi="Verdana" w:cs="Times New Roman"/>
          <w:i/>
          <w:iCs/>
          <w:sz w:val="24"/>
          <w:szCs w:val="24"/>
          <w:lang w:eastAsia="es-AR"/>
        </w:rPr>
        <w:t>Universo de Agentes de Recaudación</w:t>
      </w:r>
      <w:r w:rsidRPr="00BD1469">
        <w:rPr>
          <w:rFonts w:ascii="Verdana" w:eastAsia="Times New Roman" w:hAnsi="Verdana" w:cs="Times New Roman"/>
          <w:sz w:val="24"/>
          <w:szCs w:val="24"/>
          <w:lang w:eastAsia="es-AR"/>
        </w:rPr>
        <w:t>, que se encuentra en el sitio web de la Dirección General de Rentas (www.agip.gov.ar).</w:t>
      </w:r>
    </w:p>
    <w:p w:rsidR="00C37A3C" w:rsidRDefault="00C37A3C" w:rsidP="00C5018E">
      <w:pPr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</w:p>
    <w:p w:rsidR="00C5018E" w:rsidRPr="00C37A3C" w:rsidRDefault="00C5018E" w:rsidP="00C5018E">
      <w:pPr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C37A3C">
        <w:rPr>
          <w:rFonts w:ascii="Verdana" w:eastAsia="Times New Roman" w:hAnsi="Verdana" w:cs="Times New Roman"/>
          <w:b/>
          <w:bCs/>
          <w:sz w:val="24"/>
          <w:szCs w:val="24"/>
          <w:lang w:eastAsia="es-AR"/>
        </w:rPr>
        <w:t>A considerar</w:t>
      </w:r>
    </w:p>
    <w:p w:rsidR="00C5018E" w:rsidRPr="00C37A3C" w:rsidRDefault="00C5018E" w:rsidP="00C37A3C">
      <w:pPr>
        <w:shd w:val="clear" w:color="auto" w:fill="808080" w:themeFill="background1" w:themeFillShade="80"/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color w:val="FFFFFF" w:themeColor="background1"/>
          <w:sz w:val="24"/>
          <w:szCs w:val="24"/>
          <w:lang w:eastAsia="es-AR"/>
        </w:rPr>
      </w:pPr>
      <w:r w:rsidRPr="00C37A3C">
        <w:rPr>
          <w:rFonts w:ascii="Verdana" w:eastAsia="Times New Roman" w:hAnsi="Verdana" w:cs="Times New Roman"/>
          <w:color w:val="FFFFFF" w:themeColor="background1"/>
          <w:sz w:val="24"/>
          <w:szCs w:val="24"/>
          <w:lang w:eastAsia="es-AR"/>
        </w:rPr>
        <w:t xml:space="preserve">Deben aplicar la alícuota de percepción del impuesto asignada en el padrón de alícuotas en todas las operaciones de ventas, locaciones y/o prestaciones de servicios </w:t>
      </w:r>
      <w:r w:rsidRPr="00C37A3C">
        <w:rPr>
          <w:rFonts w:ascii="Verdana" w:eastAsia="Times New Roman" w:hAnsi="Verdana" w:cs="Times New Roman"/>
          <w:i/>
          <w:iCs/>
          <w:color w:val="FFFFFF" w:themeColor="background1"/>
          <w:sz w:val="24"/>
          <w:szCs w:val="24"/>
          <w:lang w:eastAsia="es-AR"/>
        </w:rPr>
        <w:t>sin importar el lugar en el que se materializó la entrega del bien o la locación y/o prestación del servicio</w:t>
      </w:r>
      <w:r w:rsidRPr="00C37A3C">
        <w:rPr>
          <w:rFonts w:ascii="Verdana" w:eastAsia="Times New Roman" w:hAnsi="Verdana" w:cs="Times New Roman"/>
          <w:color w:val="FFFFFF" w:themeColor="background1"/>
          <w:sz w:val="24"/>
          <w:szCs w:val="24"/>
          <w:lang w:eastAsia="es-AR"/>
        </w:rPr>
        <w:t>.</w:t>
      </w:r>
    </w:p>
    <w:p w:rsidR="00BD1469" w:rsidRDefault="00BD1469">
      <w:pPr>
        <w:rPr>
          <w:rFonts w:ascii="Verdana" w:eastAsia="Times New Roman" w:hAnsi="Verdana" w:cs="Times New Roman"/>
          <w:sz w:val="16"/>
          <w:szCs w:val="16"/>
          <w:lang w:eastAsia="es-AR"/>
        </w:rPr>
      </w:pPr>
      <w:r>
        <w:rPr>
          <w:rFonts w:ascii="Verdana" w:eastAsia="Times New Roman" w:hAnsi="Verdana" w:cs="Times New Roman"/>
          <w:sz w:val="16"/>
          <w:szCs w:val="16"/>
          <w:lang w:eastAsia="es-AR"/>
        </w:rPr>
        <w:br w:type="page"/>
      </w:r>
    </w:p>
    <w:p w:rsidR="00C5018E" w:rsidRPr="00C5018E" w:rsidRDefault="00C5018E" w:rsidP="00A56D82">
      <w:pPr>
        <w:pBdr>
          <w:bottom w:val="single" w:sz="8" w:space="0" w:color="000000"/>
        </w:pBdr>
        <w:spacing w:before="400" w:line="240" w:lineRule="auto"/>
        <w:ind w:right="70"/>
        <w:jc w:val="both"/>
        <w:rPr>
          <w:rFonts w:ascii="Verdana" w:eastAsia="Times New Roman" w:hAnsi="Verdana" w:cs="Times New Roman"/>
          <w:b/>
          <w:bCs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lang w:eastAsia="es-AR"/>
        </w:rPr>
        <w:lastRenderedPageBreak/>
        <w:t>IV - CARÁCTER AMPLIO DEL RÉGIMEN DE PERCEPCIÓN</w:t>
      </w:r>
    </w:p>
    <w:p w:rsidR="00C37A3C" w:rsidRPr="00C5018E" w:rsidRDefault="00C5018E" w:rsidP="00A56D82">
      <w:pPr>
        <w:spacing w:before="300" w:after="120" w:line="240" w:lineRule="auto"/>
        <w:ind w:left="70" w:right="7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ALCANCE DE LA PERCEPCIÓN</w:t>
      </w:r>
      <w:hyperlink r:id="rId9" w:anchor="PAT_reforma_Q5" w:tgtFrame="_self" w:history="1">
        <w:r w:rsidRPr="00C5018E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  <w:lang w:eastAsia="es-AR"/>
          </w:rPr>
          <w:t>(5)</w:t>
        </w:r>
      </w:hyperlink>
      <w:r w:rsidRPr="00C5018E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</w:t>
      </w:r>
    </w:p>
    <w:p w:rsidR="00C5018E" w:rsidRPr="00C37A3C" w:rsidRDefault="00C5018E" w:rsidP="00C37A3C">
      <w:pPr>
        <w:shd w:val="clear" w:color="auto" w:fill="F2F2F2" w:themeFill="background1" w:themeFillShade="F2"/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C37A3C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s-AR"/>
        </w:rPr>
        <w:t>Sujetos pasibles (vigente hasta el 31/10/2016)</w:t>
      </w:r>
    </w:p>
    <w:p w:rsidR="00C37A3C" w:rsidRPr="00C37A3C" w:rsidRDefault="00C5018E" w:rsidP="00A56D82">
      <w:pPr>
        <w:shd w:val="clear" w:color="auto" w:fill="F2F2F2" w:themeFill="background1" w:themeFillShade="F2"/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C37A3C">
        <w:rPr>
          <w:rFonts w:ascii="Verdana" w:eastAsia="Times New Roman" w:hAnsi="Verdana" w:cs="Times New Roman"/>
          <w:sz w:val="24"/>
          <w:szCs w:val="24"/>
          <w:lang w:eastAsia="es-AR"/>
        </w:rPr>
        <w:t>* Quienes revisten el carácter de inscriptos y/o responsables del impuesto sobre los ingresos brutos, sean categoría “locales” o liquiden a través del Convenio Multilateral, realicen operaciones de compra de cosas muebles o contraten locaciones (de cosas, obras o servicios) y/o prestaciones de servicios dentro del ámbito de la Ciudad Autónoma de Buenos Aires.</w:t>
      </w:r>
    </w:p>
    <w:p w:rsidR="00C5018E" w:rsidRPr="00C37A3C" w:rsidRDefault="00C5018E" w:rsidP="00C37A3C">
      <w:pPr>
        <w:shd w:val="clear" w:color="auto" w:fill="FFFF00"/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C37A3C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s-AR"/>
        </w:rPr>
        <w:t>Sujetos pasibles (vigente a partir del 1/11/2016)</w:t>
      </w:r>
    </w:p>
    <w:p w:rsidR="00C37A3C" w:rsidRPr="00A56D82" w:rsidRDefault="00C5018E" w:rsidP="00A56D82">
      <w:pPr>
        <w:shd w:val="clear" w:color="auto" w:fill="FFFF00"/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C37A3C">
        <w:rPr>
          <w:rFonts w:ascii="Verdana" w:eastAsia="Times New Roman" w:hAnsi="Verdana" w:cs="Times New Roman"/>
          <w:sz w:val="24"/>
          <w:szCs w:val="24"/>
          <w:lang w:eastAsia="es-AR"/>
        </w:rPr>
        <w:t>* Los contribuyentes y/o responsables del impuesto sobre los ingresos brutos en la Ciudad Autónoma de Buenos Aires, categoría “locales” o Convenio Multilateral, que realicen compras de cosas muebles, locaciones (de cosas, obras o servicios) y/o prestaciones de servicios, independientemente del lugar en el que se materialicen las mismas.</w:t>
      </w:r>
    </w:p>
    <w:p w:rsidR="00C37A3C" w:rsidRPr="00C37A3C" w:rsidRDefault="00C5018E" w:rsidP="00C37A3C">
      <w:pPr>
        <w:spacing w:before="120" w:after="70" w:line="240" w:lineRule="auto"/>
        <w:ind w:left="70" w:right="70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es-AR"/>
        </w:rPr>
      </w:pPr>
      <w:r w:rsidRPr="00C37A3C">
        <w:rPr>
          <w:rFonts w:ascii="Verdana" w:eastAsia="Times New Roman" w:hAnsi="Verdana" w:cs="Times New Roman"/>
          <w:b/>
          <w:bCs/>
          <w:sz w:val="24"/>
          <w:szCs w:val="24"/>
          <w:lang w:eastAsia="es-AR"/>
        </w:rPr>
        <w:t>A considerar</w:t>
      </w:r>
    </w:p>
    <w:p w:rsidR="00C5018E" w:rsidRPr="00C37A3C" w:rsidRDefault="00C5018E" w:rsidP="00C37A3C">
      <w:pPr>
        <w:shd w:val="clear" w:color="auto" w:fill="808080" w:themeFill="background1" w:themeFillShade="80"/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color w:val="FFFFFF" w:themeColor="background1"/>
          <w:sz w:val="24"/>
          <w:szCs w:val="24"/>
          <w:lang w:eastAsia="es-AR"/>
        </w:rPr>
      </w:pPr>
      <w:r w:rsidRPr="00C37A3C">
        <w:rPr>
          <w:rFonts w:ascii="Verdana" w:eastAsia="Times New Roman" w:hAnsi="Verdana" w:cs="Times New Roman"/>
          <w:color w:val="FFFFFF" w:themeColor="background1"/>
          <w:sz w:val="24"/>
          <w:szCs w:val="24"/>
          <w:lang w:eastAsia="es-AR"/>
        </w:rPr>
        <w:t xml:space="preserve">Como se advierte, de ahora en más la percepción del impuesto procede sin importar el lugar en el que se </w:t>
      </w:r>
      <w:r w:rsidRPr="00C37A3C">
        <w:rPr>
          <w:rFonts w:ascii="Verdana" w:eastAsia="Times New Roman" w:hAnsi="Verdana" w:cs="Times New Roman"/>
          <w:b/>
          <w:color w:val="FFFFFF" w:themeColor="background1"/>
          <w:sz w:val="24"/>
          <w:szCs w:val="24"/>
          <w:lang w:eastAsia="es-AR"/>
        </w:rPr>
        <w:t>materialice</w:t>
      </w:r>
      <w:r w:rsidRPr="00C37A3C">
        <w:rPr>
          <w:rFonts w:ascii="Verdana" w:eastAsia="Times New Roman" w:hAnsi="Verdana" w:cs="Times New Roman"/>
          <w:color w:val="FFFFFF" w:themeColor="background1"/>
          <w:sz w:val="24"/>
          <w:szCs w:val="24"/>
          <w:lang w:eastAsia="es-AR"/>
        </w:rPr>
        <w:t xml:space="preserve"> la compra y/o prestación del servicio.</w:t>
      </w:r>
    </w:p>
    <w:p w:rsidR="00A56D82" w:rsidRDefault="00A56D82" w:rsidP="00A56D82">
      <w:pPr>
        <w:rPr>
          <w:rFonts w:ascii="Verdana" w:eastAsia="Times New Roman" w:hAnsi="Verdana" w:cs="Times New Roman"/>
          <w:b/>
          <w:bCs/>
          <w:lang w:eastAsia="es-AR"/>
        </w:rPr>
      </w:pPr>
    </w:p>
    <w:p w:rsidR="00C5018E" w:rsidRPr="00C5018E" w:rsidRDefault="00C5018E" w:rsidP="00A56D82">
      <w:pPr>
        <w:rPr>
          <w:rFonts w:ascii="Verdana" w:eastAsia="Times New Roman" w:hAnsi="Verdana" w:cs="Times New Roman"/>
          <w:b/>
          <w:bCs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lang w:eastAsia="es-AR"/>
        </w:rPr>
        <w:t>V - NUEVAS ALÍCUOTAS DE PERCEPCIÓN</w:t>
      </w:r>
    </w:p>
    <w:p w:rsidR="00C5018E" w:rsidRPr="007661AB" w:rsidRDefault="00C5018E" w:rsidP="00C5018E">
      <w:pPr>
        <w:spacing w:before="300" w:after="120" w:line="240" w:lineRule="auto"/>
        <w:ind w:left="70" w:right="70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es-AR"/>
        </w:rPr>
      </w:pPr>
      <w:r w:rsidRPr="007661AB">
        <w:rPr>
          <w:rFonts w:ascii="Verdana" w:eastAsia="Times New Roman" w:hAnsi="Verdana" w:cs="Times New Roman"/>
          <w:b/>
          <w:bCs/>
          <w:sz w:val="24"/>
          <w:szCs w:val="24"/>
          <w:lang w:eastAsia="es-AR"/>
        </w:rPr>
        <w:t>CÁLCULO DE LA PERCEPCIÓN</w:t>
      </w:r>
      <w:hyperlink r:id="rId10" w:anchor="PAT_reforma_Q6" w:tgtFrame="_self" w:history="1">
        <w:r w:rsidRPr="007661AB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es-AR"/>
          </w:rPr>
          <w:t>(6)</w:t>
        </w:r>
      </w:hyperlink>
      <w:r w:rsidRPr="007661AB">
        <w:rPr>
          <w:rFonts w:ascii="Verdana" w:eastAsia="Times New Roman" w:hAnsi="Verdana" w:cs="Times New Roman"/>
          <w:b/>
          <w:bCs/>
          <w:sz w:val="24"/>
          <w:szCs w:val="24"/>
          <w:lang w:eastAsia="es-AR"/>
        </w:rPr>
        <w:t xml:space="preserve"> </w:t>
      </w:r>
    </w:p>
    <w:p w:rsidR="00C5018E" w:rsidRPr="007661AB" w:rsidRDefault="00C5018E" w:rsidP="007661AB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>A través de la resolución (</w:t>
      </w:r>
      <w:proofErr w:type="spellStart"/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>AGIP</w:t>
      </w:r>
      <w:proofErr w:type="spellEnd"/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>) 364/2016 -</w:t>
      </w:r>
      <w:proofErr w:type="spellStart"/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>BO</w:t>
      </w:r>
      <w:proofErr w:type="spellEnd"/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(Bs. As. </w:t>
      </w:r>
      <w:proofErr w:type="spellStart"/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>cdad</w:t>
      </w:r>
      <w:proofErr w:type="spellEnd"/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>.): 19/7/2016- se sustituye, entre otros, el artículo 75 del Anexo I de la resolución (</w:t>
      </w:r>
      <w:proofErr w:type="spellStart"/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>AGIP</w:t>
      </w:r>
      <w:proofErr w:type="spellEnd"/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>) 939/2013 por el siguiente:</w:t>
      </w:r>
    </w:p>
    <w:tbl>
      <w:tblPr>
        <w:tblW w:w="49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4"/>
      </w:tblGrid>
      <w:tr w:rsidR="00C5018E" w:rsidRPr="007661AB" w:rsidTr="007661AB">
        <w:trPr>
          <w:tblCellSpacing w:w="15" w:type="dxa"/>
        </w:trPr>
        <w:tc>
          <w:tcPr>
            <w:tcW w:w="4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018E" w:rsidRPr="007661AB" w:rsidRDefault="00C5018E" w:rsidP="00C5018E">
            <w:pPr>
              <w:spacing w:after="0" w:line="240" w:lineRule="auto"/>
              <w:ind w:left="70" w:right="7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AR"/>
              </w:rPr>
            </w:pPr>
            <w:r w:rsidRPr="007661A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s-AR"/>
              </w:rPr>
              <w:t>“Art. 75 - A los fines de la liquidación de la percepción se aplicará la alícuota que establece el Padrón de Regímenes Generales.</w:t>
            </w:r>
          </w:p>
        </w:tc>
      </w:tr>
      <w:tr w:rsidR="00C5018E" w:rsidRPr="007661AB" w:rsidTr="007661AB">
        <w:trPr>
          <w:tblCellSpacing w:w="15" w:type="dxa"/>
        </w:trPr>
        <w:tc>
          <w:tcPr>
            <w:tcW w:w="4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018E" w:rsidRPr="007661AB" w:rsidRDefault="00C5018E" w:rsidP="00C5018E">
            <w:pPr>
              <w:spacing w:after="0" w:line="240" w:lineRule="auto"/>
              <w:ind w:left="70" w:right="7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AR"/>
              </w:rPr>
            </w:pPr>
            <w:r w:rsidRPr="007661A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s-AR"/>
              </w:rPr>
              <w:t>Para establecer la alícuota aplicable a cada contribuyente se utilizará la tabla consignada a continuación integrada por dieciséis (16) grupos respecto de los cuales se le aplicará la alícuota correspondiente a cada uno de ellos.</w:t>
            </w:r>
          </w:p>
        </w:tc>
      </w:tr>
    </w:tbl>
    <w:p w:rsidR="00C5018E" w:rsidRPr="00C5018E" w:rsidRDefault="00C5018E" w:rsidP="007661AB">
      <w:pPr>
        <w:spacing w:before="70" w:after="70" w:line="240" w:lineRule="auto"/>
        <w:ind w:right="70"/>
        <w:rPr>
          <w:rFonts w:ascii="Calibri" w:eastAsia="Times New Roman" w:hAnsi="Calibri" w:cs="Times New Roman"/>
          <w:sz w:val="24"/>
          <w:szCs w:val="24"/>
          <w:lang w:eastAsia="es-AR"/>
        </w:rPr>
      </w:pPr>
    </w:p>
    <w:tbl>
      <w:tblPr>
        <w:tblW w:w="15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856"/>
      </w:tblGrid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AR"/>
              </w:rPr>
              <w:t>Alícuota de percepción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AR"/>
              </w:rPr>
              <w:t>Grupo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1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0,10%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2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0,20%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3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0,30%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4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0,50%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5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lastRenderedPageBreak/>
              <w:t>1,00%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6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1,50%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7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2,50%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8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2,60%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9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2,70%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10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3,00%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11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3,20%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12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3,50%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13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4,00%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14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5,00%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15</w:t>
            </w:r>
          </w:p>
        </w:tc>
      </w:tr>
      <w:tr w:rsidR="00C5018E" w:rsidRPr="00C5018E" w:rsidTr="00C5018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6,00%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018E" w:rsidRPr="00C5018E" w:rsidRDefault="00C5018E" w:rsidP="00C5018E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C5018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AR"/>
              </w:rPr>
              <w:t>16</w:t>
            </w:r>
          </w:p>
        </w:tc>
      </w:tr>
    </w:tbl>
    <w:p w:rsidR="00C5018E" w:rsidRPr="00C5018E" w:rsidRDefault="00C5018E" w:rsidP="00C5018E">
      <w:pPr>
        <w:spacing w:before="70" w:after="70" w:line="240" w:lineRule="auto"/>
        <w:ind w:left="70" w:right="70"/>
        <w:rPr>
          <w:rFonts w:ascii="Calibri" w:eastAsia="Times New Roman" w:hAnsi="Calibri" w:cs="Times New Roman"/>
          <w:sz w:val="24"/>
          <w:szCs w:val="24"/>
          <w:lang w:eastAsia="es-AR"/>
        </w:rPr>
      </w:pPr>
      <w:r w:rsidRPr="00C5018E">
        <w:rPr>
          <w:rFonts w:ascii="Calibri" w:eastAsia="Times New Roman" w:hAnsi="Calibri" w:cs="Times New Roman"/>
          <w:sz w:val="24"/>
          <w:szCs w:val="24"/>
          <w:lang w:eastAsia="es-AR"/>
        </w:rPr>
        <w:t> </w:t>
      </w:r>
    </w:p>
    <w:tbl>
      <w:tblPr>
        <w:tblW w:w="49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4"/>
      </w:tblGrid>
      <w:tr w:rsidR="00C5018E" w:rsidRPr="007661AB" w:rsidTr="007661AB">
        <w:trPr>
          <w:tblCellSpacing w:w="15" w:type="dxa"/>
        </w:trPr>
        <w:tc>
          <w:tcPr>
            <w:tcW w:w="4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018E" w:rsidRPr="007661AB" w:rsidRDefault="00C5018E" w:rsidP="00C5018E">
            <w:pPr>
              <w:spacing w:after="0" w:line="240" w:lineRule="auto"/>
              <w:ind w:left="70" w:right="7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AR"/>
              </w:rPr>
            </w:pPr>
            <w:r w:rsidRPr="007661A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s-AR"/>
              </w:rPr>
              <w:t xml:space="preserve">Cuando el agente de percepción realice una operación alcanzada por el presente régimen con un sujeto pasible de percepción </w:t>
            </w:r>
            <w:r w:rsidRPr="007661AB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es-AR"/>
              </w:rPr>
              <w:t>no incluido en el Padrón de Regímenes Generales</w:t>
            </w:r>
            <w:r w:rsidRPr="007661A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s-AR"/>
              </w:rPr>
              <w:t>, deberá percibir el impuesto aplicando sobre el monto determinado de conformidad al artículo 10 la alícuota del seis por ciento (6%).</w:t>
            </w:r>
          </w:p>
        </w:tc>
      </w:tr>
      <w:tr w:rsidR="00C5018E" w:rsidRPr="007661AB" w:rsidTr="007661AB">
        <w:trPr>
          <w:tblCellSpacing w:w="15" w:type="dxa"/>
        </w:trPr>
        <w:tc>
          <w:tcPr>
            <w:tcW w:w="4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018E" w:rsidRPr="007661AB" w:rsidRDefault="00C5018E" w:rsidP="00C5018E">
            <w:pPr>
              <w:spacing w:after="0" w:line="240" w:lineRule="auto"/>
              <w:ind w:left="70" w:right="7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AR"/>
              </w:rPr>
            </w:pPr>
            <w:r w:rsidRPr="007661A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s-AR"/>
              </w:rPr>
              <w:t>En los casos en que por desperfectos técnicos no resulte factible consultar el Padrón de Regímenes Generales, se aplicará una alícuota del tres con cincuenta centésimos por ciento (3,50%)”.</w:t>
            </w:r>
          </w:p>
        </w:tc>
      </w:tr>
    </w:tbl>
    <w:p w:rsidR="00C5018E" w:rsidRPr="00C5018E" w:rsidRDefault="00C5018E" w:rsidP="00A56D82">
      <w:pPr>
        <w:spacing w:before="70" w:after="70" w:line="240" w:lineRule="auto"/>
        <w:ind w:right="70"/>
        <w:rPr>
          <w:rFonts w:ascii="Calibri" w:eastAsia="Times New Roman" w:hAnsi="Calibri" w:cs="Times New Roman"/>
          <w:sz w:val="24"/>
          <w:szCs w:val="24"/>
          <w:lang w:eastAsia="es-AR"/>
        </w:rPr>
      </w:pPr>
    </w:p>
    <w:p w:rsidR="00C5018E" w:rsidRPr="007661AB" w:rsidRDefault="00C5018E" w:rsidP="007661AB">
      <w:pPr>
        <w:shd w:val="clear" w:color="auto" w:fill="808080" w:themeFill="background1" w:themeFillShade="80"/>
        <w:spacing w:before="80" w:after="70" w:line="240" w:lineRule="auto"/>
        <w:ind w:left="70" w:right="70"/>
        <w:jc w:val="both"/>
        <w:rPr>
          <w:rFonts w:ascii="Verdana" w:eastAsia="Times New Roman" w:hAnsi="Verdana" w:cs="Times New Roman"/>
          <w:color w:val="FFFFFF" w:themeColor="background1"/>
          <w:sz w:val="24"/>
          <w:szCs w:val="24"/>
          <w:lang w:eastAsia="es-AR"/>
        </w:rPr>
      </w:pPr>
      <w:r w:rsidRPr="007661AB">
        <w:rPr>
          <w:rFonts w:ascii="Verdana" w:eastAsia="Times New Roman" w:hAnsi="Verdana" w:cs="Times New Roman"/>
          <w:color w:val="FFFFFF" w:themeColor="background1"/>
          <w:sz w:val="24"/>
          <w:szCs w:val="24"/>
          <w:lang w:eastAsia="es-AR"/>
        </w:rPr>
        <w:t>Por lo tanto, de ahora en más los agentes de percepción deben aplicar directamente la alícuota del padrón, aunque la mercadería sea enviada o entregada en el interior del país.</w:t>
      </w:r>
      <w:hyperlink r:id="rId11" w:anchor="PAT_reforma_Q7" w:tgtFrame="_self" w:history="1">
        <w:r w:rsidRPr="007661AB">
          <w:rPr>
            <w:rFonts w:ascii="Verdana" w:eastAsia="Times New Roman" w:hAnsi="Verdana" w:cs="Times New Roman"/>
            <w:color w:val="FFFFFF" w:themeColor="background1"/>
            <w:sz w:val="24"/>
            <w:szCs w:val="24"/>
            <w:u w:val="single"/>
            <w:lang w:eastAsia="es-AR"/>
          </w:rPr>
          <w:t>(7)</w:t>
        </w:r>
      </w:hyperlink>
    </w:p>
    <w:p w:rsidR="00A56D82" w:rsidRDefault="00A56D82" w:rsidP="00A56D82">
      <w:pPr>
        <w:rPr>
          <w:rFonts w:ascii="Verdana" w:eastAsia="Times New Roman" w:hAnsi="Verdana" w:cs="Times New Roman"/>
          <w:b/>
          <w:bCs/>
          <w:lang w:eastAsia="es-AR"/>
        </w:rPr>
      </w:pPr>
    </w:p>
    <w:p w:rsidR="00C5018E" w:rsidRPr="00C5018E" w:rsidRDefault="00C5018E" w:rsidP="00A56D82">
      <w:pPr>
        <w:rPr>
          <w:rFonts w:ascii="Verdana" w:eastAsia="Times New Roman" w:hAnsi="Verdana" w:cs="Times New Roman"/>
          <w:b/>
          <w:bCs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lang w:eastAsia="es-AR"/>
        </w:rPr>
        <w:t>VI - PALABRAS FINALES. CUANDO LAS ANSIAS POR LA RECAUDACIÓN HAN GANADO A LA RAZONABILIDAD</w:t>
      </w:r>
    </w:p>
    <w:p w:rsidR="00C5018E" w:rsidRPr="007661AB" w:rsidRDefault="00C5018E" w:rsidP="00C5018E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 xml:space="preserve">El orden necesario de los regímenes de percepción se logra </w:t>
      </w:r>
      <w:r w:rsidRPr="007661AB">
        <w:rPr>
          <w:rFonts w:ascii="Verdana" w:eastAsia="Times New Roman" w:hAnsi="Verdana" w:cs="Times New Roman"/>
          <w:b/>
          <w:sz w:val="24"/>
          <w:szCs w:val="24"/>
          <w:lang w:eastAsia="es-AR"/>
        </w:rPr>
        <w:t>si se limita su ámbito de aplicación</w:t>
      </w:r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-su alcance-.</w:t>
      </w:r>
    </w:p>
    <w:p w:rsidR="00C5018E" w:rsidRPr="00C5018E" w:rsidRDefault="00C5018E" w:rsidP="00C5018E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 xml:space="preserve">Si cada uno de los regímenes de percepción del impuesto sobre los ingresos brutos, establecidos por cada una de las jurisdicciones del país, afirma que </w:t>
      </w:r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>solo se procede cuando los bienes se entreguen</w:t>
      </w:r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 xml:space="preserve"> en la jurisdicción y los servicios y/o prestaciones se desarrollen en la misma, ello implicaría que por cada factura no se “facture” más de una percepción, como debe ser, porque sus ingresos van a ser atribuidos solo a una de las 24 jurisdicciones. </w:t>
      </w:r>
    </w:p>
    <w:p w:rsidR="00C5018E" w:rsidRPr="00C5018E" w:rsidRDefault="00C5018E" w:rsidP="00C5018E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 xml:space="preserve">Lo que acaba de suceder en la ciudad no es otra cosa que </w:t>
      </w:r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>fulminar esta posibilidad</w:t>
      </w:r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>.</w:t>
      </w:r>
    </w:p>
    <w:p w:rsidR="00C5018E" w:rsidRPr="007661AB" w:rsidRDefault="00C5018E" w:rsidP="007661AB">
      <w:pPr>
        <w:spacing w:before="80" w:after="7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 xml:space="preserve">Esperemos que la </w:t>
      </w:r>
      <w:proofErr w:type="spellStart"/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>AGIP</w:t>
      </w:r>
      <w:proofErr w:type="spellEnd"/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 xml:space="preserve"> tenga sus razones técnicas para tamaña reforma. Lo que sí es seguro es que ello redundará en recaudaciones indebidas que se verán reflejadas </w:t>
      </w:r>
      <w:r w:rsidRPr="007661AB">
        <w:rPr>
          <w:rFonts w:ascii="Verdana" w:eastAsia="Times New Roman" w:hAnsi="Verdana" w:cs="Times New Roman"/>
          <w:sz w:val="24"/>
          <w:szCs w:val="24"/>
          <w:lang w:eastAsia="es-AR"/>
        </w:rPr>
        <w:t>en importantes saldos a favor del impuesto sobre los ingresos brutos</w:t>
      </w:r>
      <w:r w:rsidRPr="00C5018E">
        <w:rPr>
          <w:rFonts w:ascii="Verdana" w:eastAsia="Times New Roman" w:hAnsi="Verdana" w:cs="Times New Roman"/>
          <w:sz w:val="16"/>
          <w:szCs w:val="16"/>
          <w:lang w:eastAsia="es-AR"/>
        </w:rPr>
        <w:t>, en este caso por la Ciudad Autónoma de Buenos Aires.</w:t>
      </w:r>
    </w:p>
    <w:p w:rsidR="00C5018E" w:rsidRPr="00C5018E" w:rsidRDefault="00C5018E" w:rsidP="00C5018E">
      <w:pPr>
        <w:pBdr>
          <w:top w:val="single" w:sz="4" w:space="5" w:color="808080"/>
        </w:pBdr>
        <w:spacing w:before="400" w:after="70" w:line="240" w:lineRule="auto"/>
        <w:ind w:left="70" w:right="70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C5018E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Notas:</w:t>
      </w:r>
    </w:p>
    <w:p w:rsidR="00C5018E" w:rsidRPr="007661AB" w:rsidRDefault="00C5018E" w:rsidP="00C5018E">
      <w:pPr>
        <w:spacing w:before="70" w:after="70" w:line="240" w:lineRule="auto"/>
        <w:ind w:left="70" w:right="70"/>
        <w:jc w:val="both"/>
        <w:rPr>
          <w:rFonts w:ascii="Verdana" w:eastAsia="Times New Roman" w:hAnsi="Verdana" w:cs="Times New Roman"/>
          <w:sz w:val="28"/>
          <w:szCs w:val="28"/>
          <w:lang w:eastAsia="es-AR"/>
        </w:rPr>
      </w:pPr>
      <w:bookmarkStart w:id="0" w:name="PAT_reforma_Q1"/>
      <w:r w:rsidRPr="007661AB">
        <w:rPr>
          <w:rFonts w:ascii="Verdana" w:eastAsia="Times New Roman" w:hAnsi="Verdana" w:cs="Times New Roman"/>
          <w:vanish/>
          <w:sz w:val="28"/>
          <w:szCs w:val="28"/>
          <w:lang w:eastAsia="es-AR"/>
        </w:rPr>
        <w:lastRenderedPageBreak/>
        <w:t> </w:t>
      </w:r>
      <w:bookmarkEnd w:id="0"/>
      <w:r w:rsidRPr="007661AB">
        <w:rPr>
          <w:rFonts w:ascii="Verdana" w:eastAsia="Times New Roman" w:hAnsi="Verdana" w:cs="Times New Roman"/>
          <w:sz w:val="28"/>
          <w:szCs w:val="28"/>
          <w:lang w:eastAsia="es-AR"/>
        </w:rPr>
        <w:t xml:space="preserve">(1) </w:t>
      </w:r>
      <w:hyperlink r:id="rId12" w:tgtFrame="_blank" w:history="1">
        <w:r w:rsidRPr="007661AB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es-AR"/>
          </w:rPr>
          <w:t>“</w:t>
        </w:r>
        <w:proofErr w:type="spellStart"/>
        <w:r w:rsidRPr="007661AB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es-AR"/>
          </w:rPr>
          <w:t>Viluco</w:t>
        </w:r>
        <w:proofErr w:type="spellEnd"/>
        <w:r w:rsidRPr="007661AB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es-AR"/>
          </w:rPr>
          <w:t xml:space="preserve"> SA c/Prov. de Tucumán (</w:t>
        </w:r>
        <w:proofErr w:type="spellStart"/>
        <w:r w:rsidRPr="007661AB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es-AR"/>
          </w:rPr>
          <w:t>DGR</w:t>
        </w:r>
        <w:proofErr w:type="spellEnd"/>
        <w:r w:rsidRPr="007661AB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es-AR"/>
          </w:rPr>
          <w:t>) s/inconstitucionalidad”</w:t>
        </w:r>
      </w:hyperlink>
      <w:r w:rsidRPr="007661AB">
        <w:rPr>
          <w:rFonts w:ascii="Verdana" w:eastAsia="Times New Roman" w:hAnsi="Verdana" w:cs="Times New Roman"/>
          <w:sz w:val="28"/>
          <w:szCs w:val="28"/>
          <w:lang w:eastAsia="es-AR"/>
        </w:rPr>
        <w:t xml:space="preserve"> - </w:t>
      </w:r>
      <w:proofErr w:type="spellStart"/>
      <w:r w:rsidRPr="007661AB">
        <w:rPr>
          <w:rFonts w:ascii="Verdana" w:eastAsia="Times New Roman" w:hAnsi="Verdana" w:cs="Times New Roman"/>
          <w:sz w:val="28"/>
          <w:szCs w:val="28"/>
          <w:lang w:eastAsia="es-AR"/>
        </w:rPr>
        <w:t>Cám</w:t>
      </w:r>
      <w:proofErr w:type="spellEnd"/>
      <w:r w:rsidRPr="007661AB">
        <w:rPr>
          <w:rFonts w:ascii="Verdana" w:eastAsia="Times New Roman" w:hAnsi="Verdana" w:cs="Times New Roman"/>
          <w:sz w:val="28"/>
          <w:szCs w:val="28"/>
          <w:lang w:eastAsia="es-AR"/>
        </w:rPr>
        <w:t xml:space="preserve">. Cont. </w:t>
      </w:r>
      <w:proofErr w:type="spellStart"/>
      <w:r w:rsidRPr="007661AB">
        <w:rPr>
          <w:rFonts w:ascii="Verdana" w:eastAsia="Times New Roman" w:hAnsi="Verdana" w:cs="Times New Roman"/>
          <w:sz w:val="28"/>
          <w:szCs w:val="28"/>
          <w:lang w:eastAsia="es-AR"/>
        </w:rPr>
        <w:t>Adm</w:t>
      </w:r>
      <w:proofErr w:type="spellEnd"/>
      <w:r w:rsidRPr="007661AB">
        <w:rPr>
          <w:rFonts w:ascii="Verdana" w:eastAsia="Times New Roman" w:hAnsi="Verdana" w:cs="Times New Roman"/>
          <w:sz w:val="28"/>
          <w:szCs w:val="28"/>
          <w:lang w:eastAsia="es-AR"/>
        </w:rPr>
        <w:t>. Tucumán - Sala II - 1/8/2016</w:t>
      </w:r>
    </w:p>
    <w:p w:rsidR="00C5018E" w:rsidRPr="00C5018E" w:rsidRDefault="00C5018E" w:rsidP="00C5018E">
      <w:pPr>
        <w:spacing w:before="70" w:after="70" w:line="240" w:lineRule="auto"/>
        <w:ind w:left="70" w:right="70"/>
        <w:jc w:val="both"/>
        <w:rPr>
          <w:rFonts w:ascii="Verdana" w:eastAsia="Times New Roman" w:hAnsi="Verdana" w:cs="Times New Roman"/>
          <w:sz w:val="15"/>
          <w:szCs w:val="15"/>
          <w:lang w:eastAsia="es-AR"/>
        </w:rPr>
      </w:pPr>
      <w:bookmarkStart w:id="1" w:name="PAT_reforma_Q2"/>
      <w:r w:rsidRPr="00C5018E">
        <w:rPr>
          <w:rFonts w:ascii="Verdana" w:eastAsia="Times New Roman" w:hAnsi="Verdana" w:cs="Times New Roman"/>
          <w:vanish/>
          <w:sz w:val="15"/>
          <w:szCs w:val="15"/>
          <w:lang w:eastAsia="es-AR"/>
        </w:rPr>
        <w:t> </w:t>
      </w:r>
      <w:bookmarkEnd w:id="1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(2) Ver Alaniz, José Antonio: “Impuesto sobre los ingresos brutos. Los regímenes de retención y percepción de las 23 provincias y </w:t>
      </w:r>
      <w:proofErr w:type="spellStart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>CABA</w:t>
      </w:r>
      <w:proofErr w:type="spellEnd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” - </w:t>
      </w:r>
      <w:proofErr w:type="spellStart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>ERREPAR</w:t>
      </w:r>
      <w:proofErr w:type="spellEnd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 - Bs. As. - setiembre/2016 - pág. 60</w:t>
      </w:r>
    </w:p>
    <w:p w:rsidR="00C5018E" w:rsidRPr="00C5018E" w:rsidRDefault="00C5018E" w:rsidP="00C5018E">
      <w:pPr>
        <w:spacing w:before="70" w:after="70" w:line="240" w:lineRule="auto"/>
        <w:ind w:left="70" w:right="70"/>
        <w:jc w:val="both"/>
        <w:rPr>
          <w:rFonts w:ascii="Verdana" w:eastAsia="Times New Roman" w:hAnsi="Verdana" w:cs="Times New Roman"/>
          <w:sz w:val="15"/>
          <w:szCs w:val="15"/>
          <w:lang w:eastAsia="es-AR"/>
        </w:rPr>
      </w:pPr>
      <w:bookmarkStart w:id="2" w:name="PAT_reforma_Q3"/>
      <w:r w:rsidRPr="00C5018E">
        <w:rPr>
          <w:rFonts w:ascii="Verdana" w:eastAsia="Times New Roman" w:hAnsi="Verdana" w:cs="Times New Roman"/>
          <w:vanish/>
          <w:sz w:val="15"/>
          <w:szCs w:val="15"/>
          <w:lang w:eastAsia="es-AR"/>
        </w:rPr>
        <w:t> </w:t>
      </w:r>
      <w:bookmarkEnd w:id="2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(3) Ver Alaniz, José Antonio: “Impuesto sobre los ingresos brutos. Los regímenes de retención y percepción de las 23 provincias y </w:t>
      </w:r>
      <w:proofErr w:type="spellStart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>CABA</w:t>
      </w:r>
      <w:proofErr w:type="spellEnd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” - </w:t>
      </w:r>
      <w:proofErr w:type="spellStart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>ERREPAR</w:t>
      </w:r>
      <w:proofErr w:type="spellEnd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 - Bs. As. - setiembre/2016 - pág. 60</w:t>
      </w:r>
    </w:p>
    <w:p w:rsidR="00C5018E" w:rsidRPr="00C5018E" w:rsidRDefault="00C5018E" w:rsidP="00C5018E">
      <w:pPr>
        <w:spacing w:before="70" w:after="70" w:line="240" w:lineRule="auto"/>
        <w:ind w:left="70" w:right="70"/>
        <w:jc w:val="both"/>
        <w:rPr>
          <w:rFonts w:ascii="Verdana" w:eastAsia="Times New Roman" w:hAnsi="Verdana" w:cs="Times New Roman"/>
          <w:sz w:val="15"/>
          <w:szCs w:val="15"/>
          <w:lang w:eastAsia="es-AR"/>
        </w:rPr>
      </w:pPr>
      <w:bookmarkStart w:id="3" w:name="PAT_reforma_Q4"/>
      <w:r w:rsidRPr="00C5018E">
        <w:rPr>
          <w:rFonts w:ascii="Verdana" w:eastAsia="Times New Roman" w:hAnsi="Verdana" w:cs="Times New Roman"/>
          <w:vanish/>
          <w:sz w:val="15"/>
          <w:szCs w:val="15"/>
          <w:lang w:eastAsia="es-AR"/>
        </w:rPr>
        <w:t> </w:t>
      </w:r>
      <w:bookmarkEnd w:id="3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(4) Ver Alaniz, José Antonio: “Impuesto sobre los ingresos brutos. Los regímenes de retención y percepción de las 23 provincias y </w:t>
      </w:r>
      <w:proofErr w:type="spellStart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>CABA</w:t>
      </w:r>
      <w:proofErr w:type="spellEnd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” - </w:t>
      </w:r>
      <w:proofErr w:type="spellStart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>ERREPAR</w:t>
      </w:r>
      <w:proofErr w:type="spellEnd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 - Bs. As. - setiembre/2016 - pág. 61</w:t>
      </w:r>
    </w:p>
    <w:p w:rsidR="00C5018E" w:rsidRPr="00C5018E" w:rsidRDefault="00C5018E" w:rsidP="00C5018E">
      <w:pPr>
        <w:spacing w:before="70" w:after="70" w:line="240" w:lineRule="auto"/>
        <w:ind w:left="70" w:right="70"/>
        <w:jc w:val="both"/>
        <w:rPr>
          <w:rFonts w:ascii="Verdana" w:eastAsia="Times New Roman" w:hAnsi="Verdana" w:cs="Times New Roman"/>
          <w:sz w:val="15"/>
          <w:szCs w:val="15"/>
          <w:lang w:eastAsia="es-AR"/>
        </w:rPr>
      </w:pPr>
      <w:bookmarkStart w:id="4" w:name="PAT_reforma_Q5"/>
      <w:r w:rsidRPr="00C5018E">
        <w:rPr>
          <w:rFonts w:ascii="Verdana" w:eastAsia="Times New Roman" w:hAnsi="Verdana" w:cs="Times New Roman"/>
          <w:vanish/>
          <w:sz w:val="15"/>
          <w:szCs w:val="15"/>
          <w:lang w:eastAsia="es-AR"/>
        </w:rPr>
        <w:t> </w:t>
      </w:r>
      <w:bookmarkEnd w:id="4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(5) Ver Alaniz, José Antonio: “Impuesto sobre los ingresos brutos. Los regímenes de retención y percepción de las 23 provincias y </w:t>
      </w:r>
      <w:proofErr w:type="spellStart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>CABA</w:t>
      </w:r>
      <w:proofErr w:type="spellEnd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” - </w:t>
      </w:r>
      <w:proofErr w:type="spellStart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>ERREPAR</w:t>
      </w:r>
      <w:proofErr w:type="spellEnd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 - Bs. As. - setiembre/2016 - pág. 62</w:t>
      </w:r>
    </w:p>
    <w:p w:rsidR="00C5018E" w:rsidRPr="00C5018E" w:rsidRDefault="00C5018E" w:rsidP="00C5018E">
      <w:pPr>
        <w:spacing w:before="70" w:after="70" w:line="240" w:lineRule="auto"/>
        <w:ind w:left="70" w:right="70"/>
        <w:jc w:val="both"/>
        <w:rPr>
          <w:rFonts w:ascii="Verdana" w:eastAsia="Times New Roman" w:hAnsi="Verdana" w:cs="Times New Roman"/>
          <w:sz w:val="15"/>
          <w:szCs w:val="15"/>
          <w:lang w:eastAsia="es-AR"/>
        </w:rPr>
      </w:pPr>
      <w:bookmarkStart w:id="5" w:name="PAT_reforma_Q6"/>
      <w:r w:rsidRPr="00C5018E">
        <w:rPr>
          <w:rFonts w:ascii="Verdana" w:eastAsia="Times New Roman" w:hAnsi="Verdana" w:cs="Times New Roman"/>
          <w:vanish/>
          <w:sz w:val="15"/>
          <w:szCs w:val="15"/>
          <w:lang w:eastAsia="es-AR"/>
        </w:rPr>
        <w:t> </w:t>
      </w:r>
      <w:bookmarkEnd w:id="5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(6) Ver Alaniz, José Antonio: “Impuesto sobre los ingresos brutos. Los regímenes de retención y percepción de las 23 provincias y </w:t>
      </w:r>
      <w:proofErr w:type="spellStart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>CABA</w:t>
      </w:r>
      <w:proofErr w:type="spellEnd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” - </w:t>
      </w:r>
      <w:proofErr w:type="spellStart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>ERREPAR</w:t>
      </w:r>
      <w:proofErr w:type="spellEnd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 - Bs. As. - setiembre/2016 - pág. 63</w:t>
      </w:r>
    </w:p>
    <w:p w:rsidR="00C5018E" w:rsidRPr="00C5018E" w:rsidRDefault="00C5018E" w:rsidP="00C5018E">
      <w:pPr>
        <w:spacing w:before="70" w:after="70" w:line="240" w:lineRule="auto"/>
        <w:ind w:left="70" w:right="70"/>
        <w:jc w:val="both"/>
        <w:rPr>
          <w:rFonts w:ascii="Verdana" w:eastAsia="Times New Roman" w:hAnsi="Verdana" w:cs="Times New Roman"/>
          <w:sz w:val="15"/>
          <w:szCs w:val="15"/>
          <w:lang w:eastAsia="es-AR"/>
        </w:rPr>
      </w:pPr>
      <w:bookmarkStart w:id="6" w:name="PAT_reforma_Q7"/>
      <w:r w:rsidRPr="00C5018E">
        <w:rPr>
          <w:rFonts w:ascii="Verdana" w:eastAsia="Times New Roman" w:hAnsi="Verdana" w:cs="Times New Roman"/>
          <w:vanish/>
          <w:sz w:val="15"/>
          <w:szCs w:val="15"/>
          <w:lang w:eastAsia="es-AR"/>
        </w:rPr>
        <w:t> </w:t>
      </w:r>
      <w:bookmarkEnd w:id="6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(7) Ver Alaniz, José Antonio: “Impuesto sobre los ingresos brutos. Los regímenes de retención y percepción de las 23 provincias y </w:t>
      </w:r>
      <w:proofErr w:type="spellStart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>CABA</w:t>
      </w:r>
      <w:proofErr w:type="spellEnd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” - </w:t>
      </w:r>
      <w:bookmarkStart w:id="7" w:name="_GoBack"/>
      <w:r w:rsidRPr="00C5018E">
        <w:rPr>
          <w:rFonts w:ascii="Verdana" w:eastAsia="Times New Roman" w:hAnsi="Verdana" w:cs="Times New Roman"/>
          <w:vanish/>
          <w:sz w:val="15"/>
          <w:szCs w:val="15"/>
          <w:lang w:eastAsia="es-AR"/>
        </w:rPr>
        <w:t> </w:t>
      </w:r>
      <w:bookmarkEnd w:id="7"/>
      <w:proofErr w:type="spellStart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>ERREPAR</w:t>
      </w:r>
      <w:proofErr w:type="spellEnd"/>
      <w:r w:rsidRPr="00C5018E">
        <w:rPr>
          <w:rFonts w:ascii="Verdana" w:eastAsia="Times New Roman" w:hAnsi="Verdana" w:cs="Times New Roman"/>
          <w:sz w:val="15"/>
          <w:szCs w:val="15"/>
          <w:lang w:eastAsia="es-AR"/>
        </w:rPr>
        <w:t xml:space="preserve"> - Bs. As. - setiembre/2016 - pág. 62</w:t>
      </w:r>
    </w:p>
    <w:p w:rsidR="00C5018E" w:rsidRDefault="00C5018E"/>
    <w:sectPr w:rsidR="00C5018E" w:rsidSect="009F7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18E"/>
    <w:rsid w:val="001D5251"/>
    <w:rsid w:val="00675C44"/>
    <w:rsid w:val="0076224B"/>
    <w:rsid w:val="007661AB"/>
    <w:rsid w:val="009F7956"/>
    <w:rsid w:val="00A56D82"/>
    <w:rsid w:val="00BD1469"/>
    <w:rsid w:val="00C37A3C"/>
    <w:rsid w:val="00C5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18E"/>
    <w:pPr>
      <w:spacing w:before="70" w:after="70" w:line="240" w:lineRule="auto"/>
      <w:ind w:left="70" w:right="70"/>
    </w:pPr>
    <w:rPr>
      <w:rFonts w:ascii="Calibri" w:eastAsia="Times New Roman" w:hAnsi="Calibri" w:cs="Times New Roman"/>
      <w:sz w:val="24"/>
      <w:szCs w:val="24"/>
      <w:lang w:eastAsia="es-AR"/>
    </w:rPr>
  </w:style>
  <w:style w:type="paragraph" w:customStyle="1" w:styleId="titulocp10may">
    <w:name w:val="titulocp10may"/>
    <w:basedOn w:val="Normal"/>
    <w:rsid w:val="00C5018E"/>
    <w:pPr>
      <w:spacing w:before="300" w:after="120" w:line="240" w:lineRule="auto"/>
      <w:ind w:left="70" w:right="70"/>
      <w:jc w:val="both"/>
    </w:pPr>
    <w:rPr>
      <w:rFonts w:ascii="Verdana" w:eastAsia="Times New Roman" w:hAnsi="Verdana" w:cs="Times New Roman"/>
      <w:b/>
      <w:bCs/>
      <w:sz w:val="18"/>
      <w:szCs w:val="18"/>
      <w:lang w:eastAsia="es-AR"/>
    </w:rPr>
  </w:style>
  <w:style w:type="paragraph" w:customStyle="1" w:styleId="textocpo10-derecha-autor">
    <w:name w:val="textocpo10-derecha-autor"/>
    <w:basedOn w:val="Normal"/>
    <w:rsid w:val="00C5018E"/>
    <w:pPr>
      <w:spacing w:before="300" w:after="70" w:line="240" w:lineRule="auto"/>
      <w:ind w:left="70" w:right="70"/>
      <w:jc w:val="right"/>
    </w:pPr>
    <w:rPr>
      <w:rFonts w:ascii="Verdana" w:eastAsia="Times New Roman" w:hAnsi="Verdana" w:cs="Times New Roman"/>
      <w:b/>
      <w:bCs/>
      <w:sz w:val="20"/>
      <w:szCs w:val="20"/>
      <w:lang w:eastAsia="es-AR"/>
    </w:rPr>
  </w:style>
  <w:style w:type="paragraph" w:customStyle="1" w:styleId="titulocpo14-centrado-negrita">
    <w:name w:val="titulocpo14-centrado-negrita"/>
    <w:basedOn w:val="Normal"/>
    <w:rsid w:val="00C5018E"/>
    <w:pPr>
      <w:spacing w:before="360" w:after="120" w:line="240" w:lineRule="auto"/>
      <w:ind w:left="70" w:right="70"/>
      <w:jc w:val="center"/>
    </w:pPr>
    <w:rPr>
      <w:rFonts w:ascii="Verdana" w:eastAsia="Times New Roman" w:hAnsi="Verdana" w:cs="Times New Roman"/>
      <w:b/>
      <w:bCs/>
      <w:sz w:val="24"/>
      <w:szCs w:val="24"/>
      <w:lang w:eastAsia="es-AR"/>
    </w:rPr>
  </w:style>
  <w:style w:type="paragraph" w:customStyle="1" w:styleId="titulocp11craya0">
    <w:name w:val="titulocp11craya0"/>
    <w:basedOn w:val="Normal"/>
    <w:rsid w:val="00C5018E"/>
    <w:pPr>
      <w:pBdr>
        <w:bottom w:val="single" w:sz="8" w:space="0" w:color="000000"/>
      </w:pBdr>
      <w:spacing w:before="400" w:line="240" w:lineRule="auto"/>
      <w:ind w:left="70" w:right="70"/>
      <w:jc w:val="both"/>
    </w:pPr>
    <w:rPr>
      <w:rFonts w:ascii="Verdana" w:eastAsia="Times New Roman" w:hAnsi="Verdana" w:cs="Times New Roman"/>
      <w:b/>
      <w:bCs/>
      <w:lang w:eastAsia="es-AR"/>
    </w:rPr>
  </w:style>
  <w:style w:type="paragraph" w:customStyle="1" w:styleId="errepar24titulocpo11detexto">
    <w:name w:val="errepar_24titulocpo11detexto"/>
    <w:basedOn w:val="Normal"/>
    <w:rsid w:val="00C5018E"/>
    <w:pPr>
      <w:spacing w:before="400" w:line="240" w:lineRule="auto"/>
      <w:ind w:left="70" w:right="70"/>
      <w:jc w:val="center"/>
    </w:pPr>
    <w:rPr>
      <w:rFonts w:ascii="Verdana" w:eastAsia="Times New Roman" w:hAnsi="Verdana" w:cs="Times New Roman"/>
      <w:b/>
      <w:bCs/>
      <w:lang w:eastAsia="es-AR"/>
    </w:rPr>
  </w:style>
  <w:style w:type="paragraph" w:customStyle="1" w:styleId="sangrianovedades">
    <w:name w:val="sangrianovedades"/>
    <w:basedOn w:val="Normal"/>
    <w:rsid w:val="00C5018E"/>
    <w:pPr>
      <w:spacing w:before="80" w:after="70" w:line="240" w:lineRule="auto"/>
      <w:ind w:left="70" w:right="70" w:firstLine="70"/>
      <w:jc w:val="both"/>
    </w:pPr>
    <w:rPr>
      <w:rFonts w:ascii="Verdana" w:eastAsia="Times New Roman" w:hAnsi="Verdana" w:cs="Times New Roman"/>
      <w:sz w:val="16"/>
      <w:szCs w:val="16"/>
      <w:lang w:eastAsia="es-AR"/>
    </w:rPr>
  </w:style>
  <w:style w:type="paragraph" w:customStyle="1" w:styleId="errepar1erfrancesnovedades">
    <w:name w:val="errepar_1erfrancesnovedades"/>
    <w:basedOn w:val="Normal"/>
    <w:rsid w:val="00C5018E"/>
    <w:pPr>
      <w:spacing w:before="80" w:after="70" w:line="240" w:lineRule="auto"/>
      <w:ind w:left="180" w:right="70"/>
      <w:jc w:val="both"/>
    </w:pPr>
    <w:rPr>
      <w:rFonts w:ascii="Verdana" w:eastAsia="Times New Roman" w:hAnsi="Verdana" w:cs="Times New Roman"/>
      <w:sz w:val="16"/>
      <w:szCs w:val="16"/>
      <w:lang w:eastAsia="es-AR"/>
    </w:rPr>
  </w:style>
  <w:style w:type="paragraph" w:customStyle="1" w:styleId="texto8novedades">
    <w:name w:val="texto8novedades"/>
    <w:basedOn w:val="Normal"/>
    <w:rsid w:val="00C5018E"/>
    <w:pPr>
      <w:spacing w:before="70" w:after="70" w:line="240" w:lineRule="auto"/>
      <w:ind w:left="70" w:right="70"/>
      <w:jc w:val="both"/>
    </w:pPr>
    <w:rPr>
      <w:rFonts w:ascii="Verdana" w:eastAsia="Times New Roman" w:hAnsi="Verdana" w:cs="Times New Roman"/>
      <w:sz w:val="15"/>
      <w:szCs w:val="15"/>
      <w:lang w:eastAsia="es-AR"/>
    </w:rPr>
  </w:style>
  <w:style w:type="paragraph" w:customStyle="1" w:styleId="textonovedades">
    <w:name w:val="textonovedades"/>
    <w:basedOn w:val="Normal"/>
    <w:rsid w:val="00C5018E"/>
    <w:pPr>
      <w:spacing w:before="120" w:after="70" w:line="240" w:lineRule="auto"/>
      <w:ind w:left="70" w:right="70"/>
      <w:jc w:val="both"/>
    </w:pPr>
    <w:rPr>
      <w:rFonts w:ascii="Verdana" w:eastAsia="Times New Roman" w:hAnsi="Verdana" w:cs="Times New Roman"/>
      <w:sz w:val="16"/>
      <w:szCs w:val="16"/>
      <w:lang w:eastAsia="es-AR"/>
    </w:rPr>
  </w:style>
  <w:style w:type="paragraph" w:customStyle="1" w:styleId="notasnovedades">
    <w:name w:val="notasnovedades"/>
    <w:basedOn w:val="Normal"/>
    <w:rsid w:val="00C5018E"/>
    <w:pPr>
      <w:pBdr>
        <w:top w:val="single" w:sz="4" w:space="5" w:color="808080"/>
      </w:pBdr>
      <w:spacing w:before="400" w:after="70" w:line="240" w:lineRule="auto"/>
      <w:ind w:left="70" w:right="70"/>
      <w:jc w:val="both"/>
    </w:pPr>
    <w:rPr>
      <w:rFonts w:ascii="Verdana" w:eastAsia="Times New Roman" w:hAnsi="Verdana" w:cs="Times New Roman"/>
      <w:b/>
      <w:bCs/>
      <w:sz w:val="16"/>
      <w:szCs w:val="16"/>
      <w:lang w:eastAsia="es-AR"/>
    </w:rPr>
  </w:style>
  <w:style w:type="character" w:customStyle="1" w:styleId="negritanotascodigos">
    <w:name w:val="negritanotascodigos"/>
    <w:basedOn w:val="Fuentedeprrafopredeter"/>
    <w:rsid w:val="00C5018E"/>
    <w:rPr>
      <w:b/>
      <w:bCs/>
    </w:rPr>
  </w:style>
  <w:style w:type="character" w:customStyle="1" w:styleId="cursivanovedades">
    <w:name w:val="cursivanovedades"/>
    <w:basedOn w:val="Fuentedeprrafopredeter"/>
    <w:rsid w:val="00C5018E"/>
    <w:rPr>
      <w:rFonts w:ascii="Verdana" w:hAnsi="Verdana" w:hint="default"/>
      <w:i/>
      <w:iCs/>
    </w:rPr>
  </w:style>
  <w:style w:type="character" w:customStyle="1" w:styleId="negritacursivanovedades">
    <w:name w:val="negritacursivanovedades"/>
    <w:basedOn w:val="Fuentedeprrafopredeter"/>
    <w:rsid w:val="00C5018E"/>
    <w:rPr>
      <w:rFonts w:ascii="Verdana" w:hAnsi="Verdana" w:hint="default"/>
      <w:b/>
      <w:bCs/>
      <w:i/>
      <w:iCs/>
    </w:rPr>
  </w:style>
  <w:style w:type="character" w:customStyle="1" w:styleId="negritanovedades">
    <w:name w:val="negritanovedades"/>
    <w:basedOn w:val="Fuentedeprrafopredeter"/>
    <w:rsid w:val="00C5018E"/>
    <w:rPr>
      <w:b/>
      <w:bCs/>
    </w:rPr>
  </w:style>
  <w:style w:type="character" w:customStyle="1" w:styleId="hipervnculo">
    <w:name w:val="hipervnculo"/>
    <w:basedOn w:val="Fuentedeprrafopredeter"/>
    <w:rsid w:val="00C5018E"/>
    <w:rPr>
      <w:color w:val="0000FF"/>
      <w:u w:val="single"/>
    </w:rPr>
  </w:style>
  <w:style w:type="character" w:customStyle="1" w:styleId="highlight">
    <w:name w:val="highlight"/>
    <w:basedOn w:val="Fuentedeprrafopredeter"/>
    <w:rsid w:val="00C5018E"/>
  </w:style>
  <w:style w:type="paragraph" w:customStyle="1" w:styleId="tablajustificado81">
    <w:name w:val="tablajustificado81"/>
    <w:basedOn w:val="Normal"/>
    <w:rsid w:val="00C5018E"/>
    <w:pPr>
      <w:spacing w:after="0" w:line="240" w:lineRule="auto"/>
      <w:ind w:left="70" w:right="70"/>
      <w:jc w:val="both"/>
    </w:pPr>
    <w:rPr>
      <w:rFonts w:ascii="Verdana" w:eastAsia="Times New Roman" w:hAnsi="Verdana" w:cs="Times New Roman"/>
      <w:sz w:val="15"/>
      <w:szCs w:val="15"/>
      <w:lang w:eastAsia="es-AR"/>
    </w:rPr>
  </w:style>
  <w:style w:type="paragraph" w:customStyle="1" w:styleId="tablacentrado81">
    <w:name w:val="tablacentrado81"/>
    <w:basedOn w:val="Normal"/>
    <w:rsid w:val="00C5018E"/>
    <w:pPr>
      <w:spacing w:after="0" w:line="240" w:lineRule="auto"/>
      <w:ind w:left="70" w:right="70"/>
      <w:jc w:val="center"/>
    </w:pPr>
    <w:rPr>
      <w:rFonts w:ascii="Verdana" w:eastAsia="Times New Roman" w:hAnsi="Verdana" w:cs="Times New Roman"/>
      <w:sz w:val="15"/>
      <w:szCs w:val="15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.errepar.com/sitios/ver/html/20160927091251742.html?k=CIUDAD%20DE%20BUENOS%20AIRES.%20INGRESOS%20BRUTOS.%20MEDULAR%20REFORMA%20DEL%20R&#201;GIMEN%20GENERAL%20DE%20PERCEPCI&#211;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ol.errepar.com/sitios/ver/html/20160927091251742.html?k=CIUDAD%20DE%20BUENOS%20AIRES.%20INGRESOS%20BRUTOS.%20MEDULAR%20REFORMA%20DEL%20R&#201;GIMEN%20GENERAL%20DE%20PERCEPCI&#211;N" TargetMode="External"/><Relationship Id="rId12" Type="http://schemas.openxmlformats.org/officeDocument/2006/relationships/hyperlink" Target="http://eolgestion.errepar.com/sitios/eolgestion/Judicial/20160928085404079.docx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ol.errepar.com/sitios/ver/html/20160927091251742.html?k=CIUDAD%20DE%20BUENOS%20AIRES.%20INGRESOS%20BRUTOS.%20MEDULAR%20REFORMA%20DEL%20R&#201;GIMEN%20GENERAL%20DE%20PERCEPCI&#211;N" TargetMode="External"/><Relationship Id="rId11" Type="http://schemas.openxmlformats.org/officeDocument/2006/relationships/hyperlink" Target="http://eol.errepar.com/sitios/ver/html/20160927091251742.html?k=CIUDAD%20DE%20BUENOS%20AIRES.%20INGRESOS%20BRUTOS.%20MEDULAR%20REFORMA%20DEL%20R&#201;GIMEN%20GENERAL%20DE%20PERCEPCI&#211;N" TargetMode="External"/><Relationship Id="rId5" Type="http://schemas.openxmlformats.org/officeDocument/2006/relationships/hyperlink" Target="http://eolgestion.errepar.com/sitios/eolgestion/Legislacion/20160906142344204.docxhtml" TargetMode="External"/><Relationship Id="rId10" Type="http://schemas.openxmlformats.org/officeDocument/2006/relationships/hyperlink" Target="http://eol.errepar.com/sitios/ver/html/20160927091251742.html?k=CIUDAD%20DE%20BUENOS%20AIRES.%20INGRESOS%20BRUTOS.%20MEDULAR%20REFORMA%20DEL%20R&#201;GIMEN%20GENERAL%20DE%20PERCEPCI&#211;N" TargetMode="External"/><Relationship Id="rId4" Type="http://schemas.openxmlformats.org/officeDocument/2006/relationships/hyperlink" Target="http://eol.errepar.com/sitios/ver/html/20160927091251742.html?k=CIUDAD%20DE%20BUENOS%20AIRES.%20INGRESOS%20BRUTOS.%20MEDULAR%20REFORMA%20DEL%20R&#201;GIMEN%20GENERAL%20DE%20PERCEPCI&#211;N" TargetMode="External"/><Relationship Id="rId9" Type="http://schemas.openxmlformats.org/officeDocument/2006/relationships/hyperlink" Target="http://eol.errepar.com/sitios/ver/html/20160927091251742.html?k=CIUDAD%20DE%20BUENOS%20AIRES.%20INGRESOS%20BRUTOS.%20MEDULAR%20REFORMA%20DEL%20R&#201;GIMEN%20GENERAL%20DE%20PERCEPCI&#211;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1927</Words>
  <Characters>10599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2016-10-18T11:07:00Z</dcterms:created>
  <dcterms:modified xsi:type="dcterms:W3CDTF">2016-10-18T11:07:00Z</dcterms:modified>
</cp:coreProperties>
</file>