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12" w:rsidRDefault="002C5712" w:rsidP="001D5E70">
      <w:pPr>
        <w:jc w:val="both"/>
        <w:rPr>
          <w:rFonts w:ascii="Arial" w:hAnsi="Arial" w:cs="Arial"/>
          <w:sz w:val="24"/>
          <w:szCs w:val="24"/>
        </w:rPr>
      </w:pPr>
    </w:p>
    <w:p w:rsidR="002C5712" w:rsidRDefault="002C5712" w:rsidP="002C5712">
      <w:pPr>
        <w:jc w:val="center"/>
        <w:rPr>
          <w:rFonts w:ascii="Arial" w:hAnsi="Arial" w:cs="Arial"/>
          <w:sz w:val="24"/>
          <w:szCs w:val="24"/>
        </w:rPr>
      </w:pPr>
      <w:proofErr w:type="spellStart"/>
      <w:r>
        <w:rPr>
          <w:rFonts w:ascii="Arial" w:hAnsi="Arial" w:cs="Arial"/>
          <w:sz w:val="24"/>
          <w:szCs w:val="24"/>
        </w:rPr>
        <w:t>RESOLUCION</w:t>
      </w:r>
      <w:proofErr w:type="spellEnd"/>
      <w:r>
        <w:rPr>
          <w:rFonts w:ascii="Arial" w:hAnsi="Arial" w:cs="Arial"/>
          <w:sz w:val="24"/>
          <w:szCs w:val="24"/>
        </w:rPr>
        <w:t xml:space="preserve"> </w:t>
      </w:r>
      <w:proofErr w:type="spellStart"/>
      <w:r>
        <w:rPr>
          <w:rFonts w:ascii="Arial" w:hAnsi="Arial" w:cs="Arial"/>
          <w:sz w:val="24"/>
          <w:szCs w:val="24"/>
        </w:rPr>
        <w:t>AGIP</w:t>
      </w:r>
      <w:proofErr w:type="spellEnd"/>
      <w:r>
        <w:rPr>
          <w:rFonts w:ascii="Arial" w:hAnsi="Arial" w:cs="Arial"/>
          <w:sz w:val="24"/>
          <w:szCs w:val="24"/>
        </w:rPr>
        <w:t xml:space="preserve"> 421/2016</w:t>
      </w:r>
    </w:p>
    <w:p w:rsidR="007E5E54" w:rsidRPr="001D5E70" w:rsidRDefault="00F2053C" w:rsidP="001D5E70">
      <w:pPr>
        <w:jc w:val="both"/>
        <w:rPr>
          <w:rFonts w:ascii="Arial" w:hAnsi="Arial" w:cs="Arial"/>
          <w:b/>
          <w:sz w:val="24"/>
          <w:szCs w:val="24"/>
          <w:lang w:val="es-ES"/>
        </w:rPr>
      </w:pPr>
      <w:r w:rsidRPr="00E00C48">
        <w:rPr>
          <w:rFonts w:ascii="Arial" w:hAnsi="Arial" w:cs="Arial"/>
          <w:b/>
          <w:sz w:val="24"/>
          <w:szCs w:val="24"/>
          <w:u w:val="single"/>
        </w:rPr>
        <w:t>Incorporación</w:t>
      </w:r>
      <w:r w:rsidR="001D5E70" w:rsidRPr="00E00C48">
        <w:rPr>
          <w:rFonts w:ascii="Arial" w:hAnsi="Arial" w:cs="Arial"/>
          <w:b/>
          <w:sz w:val="24"/>
          <w:szCs w:val="24"/>
          <w:u w:val="single"/>
        </w:rPr>
        <w:t xml:space="preserve"> como artículo 10 bis a continuación del artículo 10 del Anexo I de la Resolución Nº 939/AGIP/2013</w:t>
      </w:r>
      <w:r w:rsidR="001D5E70" w:rsidRPr="001D5E70">
        <w:rPr>
          <w:rFonts w:ascii="Arial" w:hAnsi="Arial" w:cs="Arial"/>
          <w:b/>
          <w:sz w:val="24"/>
          <w:szCs w:val="24"/>
        </w:rPr>
        <w:t>:</w:t>
      </w:r>
    </w:p>
    <w:tbl>
      <w:tblPr>
        <w:tblStyle w:val="Tablaconcuadrcula"/>
        <w:tblW w:w="0" w:type="auto"/>
        <w:tblLook w:val="04A0"/>
      </w:tblPr>
      <w:tblGrid>
        <w:gridCol w:w="8897"/>
      </w:tblGrid>
      <w:tr w:rsidR="002C5712" w:rsidTr="002C5712">
        <w:tc>
          <w:tcPr>
            <w:tcW w:w="8897" w:type="dxa"/>
          </w:tcPr>
          <w:p w:rsidR="002C5712" w:rsidRDefault="002C5712" w:rsidP="00741486">
            <w:pPr>
              <w:jc w:val="both"/>
              <w:rPr>
                <w:rFonts w:ascii="Arial" w:hAnsi="Arial" w:cs="Arial"/>
                <w:sz w:val="24"/>
                <w:szCs w:val="24"/>
              </w:rPr>
            </w:pPr>
          </w:p>
          <w:p w:rsidR="002C5712" w:rsidRDefault="002C5712" w:rsidP="00F2053C">
            <w:pPr>
              <w:spacing w:before="80"/>
              <w:ind w:right="105"/>
              <w:jc w:val="both"/>
              <w:rPr>
                <w:rFonts w:ascii="Arial" w:hAnsi="Arial" w:cs="Arial"/>
                <w:b/>
                <w:color w:val="000000"/>
                <w:sz w:val="24"/>
                <w:szCs w:val="24"/>
                <w:lang w:val="es-ES"/>
              </w:rPr>
            </w:pPr>
            <w:r w:rsidRPr="00D77677">
              <w:rPr>
                <w:rFonts w:ascii="Arial" w:hAnsi="Arial" w:cs="Arial"/>
                <w:b/>
                <w:color w:val="000000"/>
                <w:sz w:val="24"/>
                <w:szCs w:val="24"/>
                <w:lang w:val="es-ES"/>
              </w:rPr>
              <w:t>Devolución de percepciones – notas de crédito</w:t>
            </w:r>
            <w:r>
              <w:rPr>
                <w:rFonts w:ascii="Arial" w:hAnsi="Arial" w:cs="Arial"/>
                <w:b/>
                <w:color w:val="000000"/>
                <w:sz w:val="24"/>
                <w:szCs w:val="24"/>
                <w:lang w:val="es-ES"/>
              </w:rPr>
              <w:t>.</w:t>
            </w:r>
          </w:p>
          <w:p w:rsidR="002C5712" w:rsidRPr="00F2053C" w:rsidRDefault="002C5712" w:rsidP="00F2053C">
            <w:pPr>
              <w:spacing w:before="80"/>
              <w:ind w:right="105"/>
              <w:jc w:val="both"/>
              <w:rPr>
                <w:rFonts w:ascii="Arial" w:hAnsi="Arial" w:cs="Arial"/>
                <w:color w:val="000000"/>
                <w:sz w:val="24"/>
                <w:szCs w:val="24"/>
              </w:rPr>
            </w:pPr>
            <w:r w:rsidRPr="00F2053C">
              <w:rPr>
                <w:rFonts w:ascii="Arial" w:hAnsi="Arial" w:cs="Arial"/>
                <w:color w:val="000000"/>
                <w:sz w:val="24"/>
                <w:szCs w:val="24"/>
              </w:rPr>
              <w:t>La devolución de las percepciones practicadas mediante la</w:t>
            </w:r>
            <w:r>
              <w:rPr>
                <w:rFonts w:ascii="Arial" w:hAnsi="Arial" w:cs="Arial"/>
                <w:color w:val="000000"/>
                <w:sz w:val="24"/>
                <w:szCs w:val="24"/>
              </w:rPr>
              <w:t xml:space="preserve"> </w:t>
            </w:r>
            <w:r w:rsidRPr="00F2053C">
              <w:rPr>
                <w:rFonts w:ascii="Arial" w:hAnsi="Arial" w:cs="Arial"/>
                <w:color w:val="000000"/>
                <w:sz w:val="24"/>
                <w:szCs w:val="24"/>
              </w:rPr>
              <w:t xml:space="preserve">emisión de Notas de Crédito, procederá </w:t>
            </w:r>
            <w:r w:rsidRPr="004A2AE5">
              <w:rPr>
                <w:rFonts w:ascii="Arial" w:hAnsi="Arial" w:cs="Arial"/>
                <w:b/>
                <w:color w:val="000000"/>
                <w:sz w:val="24"/>
                <w:szCs w:val="24"/>
                <w:u w:val="single"/>
              </w:rPr>
              <w:t>únicamente</w:t>
            </w:r>
            <w:r w:rsidRPr="00F2053C">
              <w:rPr>
                <w:rFonts w:ascii="Arial" w:hAnsi="Arial" w:cs="Arial"/>
                <w:color w:val="000000"/>
                <w:sz w:val="24"/>
                <w:szCs w:val="24"/>
              </w:rPr>
              <w:t xml:space="preserve"> como consecuencia de la</w:t>
            </w:r>
          </w:p>
          <w:p w:rsidR="002C5712" w:rsidRPr="002C5712" w:rsidRDefault="002C5712" w:rsidP="002C5712">
            <w:pPr>
              <w:spacing w:before="80"/>
              <w:ind w:right="105"/>
              <w:jc w:val="both"/>
              <w:rPr>
                <w:rFonts w:ascii="Arial" w:hAnsi="Arial" w:cs="Arial"/>
                <w:color w:val="000000"/>
                <w:sz w:val="24"/>
                <w:szCs w:val="24"/>
                <w:lang w:val="es-ES"/>
              </w:rPr>
            </w:pPr>
            <w:proofErr w:type="gramStart"/>
            <w:r w:rsidRPr="00F2053C">
              <w:rPr>
                <w:rFonts w:ascii="Arial" w:hAnsi="Arial" w:cs="Arial"/>
                <w:color w:val="000000"/>
                <w:sz w:val="24"/>
                <w:szCs w:val="24"/>
              </w:rPr>
              <w:t>anulación</w:t>
            </w:r>
            <w:proofErr w:type="gramEnd"/>
            <w:r w:rsidRPr="00F2053C">
              <w:rPr>
                <w:rFonts w:ascii="Arial" w:hAnsi="Arial" w:cs="Arial"/>
                <w:color w:val="000000"/>
                <w:sz w:val="24"/>
                <w:szCs w:val="24"/>
              </w:rPr>
              <w:t xml:space="preserve"> total de la operación que se hubiera instrumentado mediante la confección</w:t>
            </w:r>
            <w:r>
              <w:rPr>
                <w:rFonts w:ascii="Arial" w:hAnsi="Arial" w:cs="Arial"/>
                <w:color w:val="000000"/>
                <w:sz w:val="24"/>
                <w:szCs w:val="24"/>
              </w:rPr>
              <w:t xml:space="preserve"> </w:t>
            </w:r>
            <w:r w:rsidRPr="00F2053C">
              <w:rPr>
                <w:rFonts w:ascii="Arial" w:hAnsi="Arial" w:cs="Arial"/>
                <w:color w:val="000000"/>
                <w:sz w:val="24"/>
                <w:szCs w:val="24"/>
              </w:rPr>
              <w:t>de la correspondiente Factura o documento equivalente y siempre que la misma se</w:t>
            </w:r>
            <w:r>
              <w:rPr>
                <w:rFonts w:ascii="Arial" w:hAnsi="Arial" w:cs="Arial"/>
                <w:color w:val="000000"/>
                <w:sz w:val="24"/>
                <w:szCs w:val="24"/>
              </w:rPr>
              <w:t xml:space="preserve"> </w:t>
            </w:r>
            <w:r w:rsidRPr="00F2053C">
              <w:rPr>
                <w:rFonts w:ascii="Arial" w:hAnsi="Arial" w:cs="Arial"/>
                <w:color w:val="000000"/>
                <w:sz w:val="24"/>
                <w:szCs w:val="24"/>
              </w:rPr>
              <w:t xml:space="preserve">emita </w:t>
            </w:r>
            <w:r w:rsidRPr="004A2AE5">
              <w:rPr>
                <w:rFonts w:ascii="Arial" w:hAnsi="Arial" w:cs="Arial"/>
                <w:color w:val="000000"/>
                <w:sz w:val="24"/>
                <w:szCs w:val="24"/>
                <w:u w:val="single"/>
              </w:rPr>
              <w:t>dentro del mes</w:t>
            </w:r>
            <w:r w:rsidRPr="00F2053C">
              <w:rPr>
                <w:rFonts w:ascii="Arial" w:hAnsi="Arial" w:cs="Arial"/>
                <w:color w:val="000000"/>
                <w:sz w:val="24"/>
                <w:szCs w:val="24"/>
              </w:rPr>
              <w:t xml:space="preserve"> en que se realizó la operación que le diera origen</w:t>
            </w:r>
            <w:r>
              <w:rPr>
                <w:rFonts w:ascii="Arial" w:hAnsi="Arial" w:cs="Arial"/>
                <w:color w:val="000000"/>
                <w:sz w:val="24"/>
                <w:szCs w:val="24"/>
              </w:rPr>
              <w:t>.</w:t>
            </w:r>
          </w:p>
        </w:tc>
      </w:tr>
    </w:tbl>
    <w:p w:rsidR="004A2AE5" w:rsidRDefault="004A2AE5" w:rsidP="00741486">
      <w:pPr>
        <w:jc w:val="both"/>
        <w:rPr>
          <w:rFonts w:ascii="Arial" w:hAnsi="Arial" w:cs="Arial"/>
          <w:sz w:val="24"/>
          <w:szCs w:val="24"/>
        </w:rPr>
      </w:pPr>
    </w:p>
    <w:p w:rsidR="00770FA4" w:rsidRDefault="00770FA4">
      <w:pPr>
        <w:rPr>
          <w:rFonts w:ascii="Arial" w:hAnsi="Arial" w:cs="Arial"/>
          <w:sz w:val="24"/>
          <w:szCs w:val="24"/>
        </w:rPr>
      </w:pPr>
      <w:r>
        <w:rPr>
          <w:rFonts w:ascii="Arial" w:hAnsi="Arial" w:cs="Arial"/>
          <w:sz w:val="24"/>
          <w:szCs w:val="24"/>
        </w:rPr>
        <w:br w:type="page"/>
      </w:r>
    </w:p>
    <w:p w:rsidR="00770FA4" w:rsidRDefault="00770FA4" w:rsidP="00741486">
      <w:pPr>
        <w:jc w:val="both"/>
        <w:rPr>
          <w:rFonts w:ascii="Arial" w:hAnsi="Arial" w:cs="Arial"/>
          <w:sz w:val="24"/>
          <w:szCs w:val="24"/>
        </w:rPr>
      </w:pPr>
    </w:p>
    <w:p w:rsidR="00770FA4" w:rsidRDefault="00770FA4" w:rsidP="00770FA4">
      <w:pPr>
        <w:jc w:val="both"/>
        <w:rPr>
          <w:rFonts w:ascii="Arial" w:hAnsi="Arial" w:cs="Arial"/>
          <w:b/>
          <w:sz w:val="24"/>
          <w:szCs w:val="24"/>
        </w:rPr>
      </w:pPr>
      <w:r w:rsidRPr="00EC69C5">
        <w:rPr>
          <w:rFonts w:ascii="Arial" w:hAnsi="Arial" w:cs="Arial"/>
          <w:b/>
          <w:sz w:val="24"/>
          <w:szCs w:val="24"/>
          <w:u w:val="single"/>
        </w:rPr>
        <w:t>Incorporación como artículo 10 ter a continuación del artículo 10 bis del Anexo I de la Resolución Nº 939/</w:t>
      </w:r>
      <w:proofErr w:type="spellStart"/>
      <w:r w:rsidRPr="00EC69C5">
        <w:rPr>
          <w:rFonts w:ascii="Arial" w:hAnsi="Arial" w:cs="Arial"/>
          <w:b/>
          <w:sz w:val="24"/>
          <w:szCs w:val="24"/>
          <w:u w:val="single"/>
        </w:rPr>
        <w:t>AGIP</w:t>
      </w:r>
      <w:proofErr w:type="spellEnd"/>
      <w:r w:rsidRPr="00EC69C5">
        <w:rPr>
          <w:rFonts w:ascii="Arial" w:hAnsi="Arial" w:cs="Arial"/>
          <w:b/>
          <w:sz w:val="24"/>
          <w:szCs w:val="24"/>
          <w:u w:val="single"/>
        </w:rPr>
        <w:t>/2013</w:t>
      </w:r>
      <w:r>
        <w:rPr>
          <w:rFonts w:ascii="Arial" w:hAnsi="Arial" w:cs="Arial"/>
          <w:b/>
          <w:sz w:val="24"/>
          <w:szCs w:val="24"/>
        </w:rPr>
        <w:t>:</w:t>
      </w:r>
    </w:p>
    <w:tbl>
      <w:tblPr>
        <w:tblStyle w:val="Tablaconcuadrcula"/>
        <w:tblW w:w="0" w:type="auto"/>
        <w:tblLook w:val="04A0"/>
      </w:tblPr>
      <w:tblGrid>
        <w:gridCol w:w="9039"/>
      </w:tblGrid>
      <w:tr w:rsidR="00770FA4" w:rsidTr="006C5367">
        <w:tc>
          <w:tcPr>
            <w:tcW w:w="9039" w:type="dxa"/>
          </w:tcPr>
          <w:p w:rsidR="00770FA4" w:rsidRDefault="00770FA4" w:rsidP="006C5367">
            <w:pPr>
              <w:jc w:val="center"/>
              <w:rPr>
                <w:rFonts w:ascii="Arial" w:hAnsi="Arial" w:cs="Arial"/>
                <w:sz w:val="24"/>
                <w:szCs w:val="24"/>
              </w:rPr>
            </w:pPr>
            <w:r>
              <w:rPr>
                <w:rFonts w:ascii="Arial" w:hAnsi="Arial" w:cs="Arial"/>
                <w:b/>
                <w:sz w:val="24"/>
                <w:szCs w:val="24"/>
              </w:rPr>
              <w:t>“Nuevo”</w:t>
            </w:r>
          </w:p>
          <w:p w:rsidR="00770FA4" w:rsidRDefault="00770FA4" w:rsidP="006C5367">
            <w:pPr>
              <w:jc w:val="both"/>
              <w:rPr>
                <w:rFonts w:ascii="Arial" w:hAnsi="Arial" w:cs="Arial"/>
                <w:sz w:val="24"/>
                <w:szCs w:val="24"/>
              </w:rPr>
            </w:pPr>
          </w:p>
          <w:p w:rsidR="00770FA4" w:rsidRDefault="00770FA4" w:rsidP="006C5367">
            <w:pPr>
              <w:spacing w:before="80"/>
              <w:ind w:right="105"/>
              <w:jc w:val="both"/>
              <w:rPr>
                <w:rFonts w:ascii="Arial" w:hAnsi="Arial" w:cs="Arial"/>
                <w:b/>
                <w:color w:val="000000"/>
                <w:sz w:val="24"/>
                <w:szCs w:val="24"/>
                <w:lang w:val="es-ES"/>
              </w:rPr>
            </w:pPr>
            <w:r w:rsidRPr="00D77677">
              <w:rPr>
                <w:rFonts w:ascii="Arial" w:hAnsi="Arial" w:cs="Arial"/>
                <w:b/>
                <w:color w:val="000000"/>
                <w:sz w:val="24"/>
                <w:szCs w:val="24"/>
                <w:lang w:val="es-ES"/>
              </w:rPr>
              <w:t xml:space="preserve">Devolución </w:t>
            </w:r>
            <w:r>
              <w:rPr>
                <w:rFonts w:ascii="Arial" w:hAnsi="Arial" w:cs="Arial"/>
                <w:b/>
                <w:color w:val="000000"/>
                <w:sz w:val="24"/>
                <w:szCs w:val="24"/>
                <w:lang w:val="es-ES"/>
              </w:rPr>
              <w:t>de percepciones – Improcedencia</w:t>
            </w:r>
          </w:p>
          <w:p w:rsidR="00770FA4" w:rsidRDefault="00770FA4" w:rsidP="006C5367">
            <w:pPr>
              <w:spacing w:before="80"/>
              <w:ind w:right="105"/>
              <w:jc w:val="both"/>
              <w:rPr>
                <w:rFonts w:ascii="Arial" w:hAnsi="Arial" w:cs="Arial"/>
                <w:color w:val="000000"/>
                <w:sz w:val="24"/>
                <w:szCs w:val="24"/>
              </w:rPr>
            </w:pPr>
            <w:r w:rsidRPr="006D2B5E">
              <w:rPr>
                <w:rFonts w:ascii="Arial" w:hAnsi="Arial" w:cs="Arial"/>
                <w:color w:val="000000"/>
                <w:sz w:val="24"/>
                <w:szCs w:val="24"/>
              </w:rPr>
              <w:t>No procederán las devoluciones y/o</w:t>
            </w:r>
            <w:r>
              <w:rPr>
                <w:rFonts w:ascii="Arial" w:hAnsi="Arial" w:cs="Arial"/>
                <w:color w:val="000000"/>
                <w:sz w:val="24"/>
                <w:szCs w:val="24"/>
              </w:rPr>
              <w:t xml:space="preserve"> </w:t>
            </w:r>
            <w:r w:rsidRPr="006D2B5E">
              <w:rPr>
                <w:rFonts w:ascii="Arial" w:hAnsi="Arial" w:cs="Arial"/>
                <w:color w:val="000000"/>
                <w:sz w:val="24"/>
                <w:szCs w:val="24"/>
              </w:rPr>
              <w:t>compensaciones de percepciones practicadas mediante la emisión de Notas de</w:t>
            </w:r>
            <w:r>
              <w:rPr>
                <w:rFonts w:ascii="Arial" w:hAnsi="Arial" w:cs="Arial"/>
                <w:color w:val="000000"/>
                <w:sz w:val="24"/>
                <w:szCs w:val="24"/>
              </w:rPr>
              <w:t xml:space="preserve"> </w:t>
            </w:r>
            <w:r w:rsidRPr="006D2B5E">
              <w:rPr>
                <w:rFonts w:ascii="Arial" w:hAnsi="Arial" w:cs="Arial"/>
                <w:color w:val="000000"/>
                <w:sz w:val="24"/>
                <w:szCs w:val="24"/>
              </w:rPr>
              <w:t>Crédito, en los casos de</w:t>
            </w:r>
          </w:p>
          <w:p w:rsidR="00770FA4" w:rsidRDefault="00770FA4" w:rsidP="006C5367">
            <w:pPr>
              <w:spacing w:before="80"/>
              <w:ind w:right="105"/>
              <w:jc w:val="both"/>
              <w:rPr>
                <w:rFonts w:ascii="Arial" w:hAnsi="Arial" w:cs="Arial"/>
                <w:color w:val="000000"/>
                <w:sz w:val="24"/>
                <w:szCs w:val="24"/>
              </w:rPr>
            </w:pPr>
            <w:r w:rsidRPr="006D2B5E">
              <w:rPr>
                <w:rFonts w:ascii="Arial" w:hAnsi="Arial" w:cs="Arial"/>
                <w:color w:val="000000"/>
                <w:sz w:val="24"/>
                <w:szCs w:val="24"/>
              </w:rPr>
              <w:t xml:space="preserve"> devoluciones parciales por bonificaciones, </w:t>
            </w:r>
          </w:p>
          <w:p w:rsidR="00770FA4" w:rsidRDefault="00770FA4" w:rsidP="006C5367">
            <w:pPr>
              <w:spacing w:before="80"/>
              <w:ind w:right="105"/>
              <w:jc w:val="both"/>
              <w:rPr>
                <w:rFonts w:ascii="Arial" w:hAnsi="Arial" w:cs="Arial"/>
                <w:color w:val="000000"/>
                <w:sz w:val="24"/>
                <w:szCs w:val="24"/>
              </w:rPr>
            </w:pPr>
            <w:r w:rsidRPr="006D2B5E">
              <w:rPr>
                <w:rFonts w:ascii="Arial" w:hAnsi="Arial" w:cs="Arial"/>
                <w:color w:val="000000"/>
                <w:sz w:val="24"/>
                <w:szCs w:val="24"/>
              </w:rPr>
              <w:t>descuentos u otros</w:t>
            </w:r>
            <w:r>
              <w:rPr>
                <w:rFonts w:ascii="Arial" w:hAnsi="Arial" w:cs="Arial"/>
                <w:color w:val="000000"/>
                <w:sz w:val="24"/>
                <w:szCs w:val="24"/>
              </w:rPr>
              <w:t xml:space="preserve"> </w:t>
            </w:r>
            <w:r w:rsidRPr="006D2B5E">
              <w:rPr>
                <w:rFonts w:ascii="Arial" w:hAnsi="Arial" w:cs="Arial"/>
                <w:color w:val="000000"/>
                <w:sz w:val="24"/>
                <w:szCs w:val="24"/>
              </w:rPr>
              <w:t xml:space="preserve">conceptos similares generalmente admitidos según usos y costumbres, </w:t>
            </w:r>
          </w:p>
          <w:p w:rsidR="00770FA4" w:rsidRDefault="00770FA4" w:rsidP="006C5367">
            <w:pPr>
              <w:spacing w:before="80"/>
              <w:ind w:right="105"/>
              <w:jc w:val="both"/>
              <w:rPr>
                <w:rFonts w:ascii="Arial" w:hAnsi="Arial" w:cs="Arial"/>
                <w:color w:val="000000"/>
                <w:sz w:val="24"/>
                <w:szCs w:val="24"/>
              </w:rPr>
            </w:pPr>
            <w:proofErr w:type="gramStart"/>
            <w:r w:rsidRPr="006D2B5E">
              <w:rPr>
                <w:rFonts w:ascii="Arial" w:hAnsi="Arial" w:cs="Arial"/>
                <w:color w:val="000000"/>
                <w:sz w:val="24"/>
                <w:szCs w:val="24"/>
              </w:rPr>
              <w:t>como</w:t>
            </w:r>
            <w:proofErr w:type="gramEnd"/>
            <w:r w:rsidRPr="006D2B5E">
              <w:rPr>
                <w:rFonts w:ascii="Arial" w:hAnsi="Arial" w:cs="Arial"/>
                <w:color w:val="000000"/>
                <w:sz w:val="24"/>
                <w:szCs w:val="24"/>
              </w:rPr>
              <w:t xml:space="preserve"> así</w:t>
            </w:r>
            <w:r>
              <w:rPr>
                <w:rFonts w:ascii="Arial" w:hAnsi="Arial" w:cs="Arial"/>
                <w:color w:val="000000"/>
                <w:sz w:val="24"/>
                <w:szCs w:val="24"/>
              </w:rPr>
              <w:t xml:space="preserve"> </w:t>
            </w:r>
            <w:r w:rsidRPr="006D2B5E">
              <w:rPr>
                <w:rFonts w:ascii="Arial" w:hAnsi="Arial" w:cs="Arial"/>
                <w:color w:val="000000"/>
                <w:sz w:val="24"/>
                <w:szCs w:val="24"/>
              </w:rPr>
              <w:t xml:space="preserve">tampoco por aplicación errónea del régimen de percepción en cuestión. </w:t>
            </w:r>
          </w:p>
          <w:p w:rsidR="00770FA4" w:rsidRPr="002C5712" w:rsidRDefault="00770FA4" w:rsidP="006C5367">
            <w:pPr>
              <w:spacing w:before="80"/>
              <w:ind w:right="105"/>
              <w:jc w:val="both"/>
              <w:rPr>
                <w:rFonts w:ascii="Arial" w:hAnsi="Arial" w:cs="Arial"/>
                <w:color w:val="000000"/>
                <w:sz w:val="24"/>
                <w:szCs w:val="24"/>
              </w:rPr>
            </w:pPr>
            <w:r w:rsidRPr="006D2B5E">
              <w:rPr>
                <w:rFonts w:ascii="Arial" w:hAnsi="Arial" w:cs="Arial"/>
                <w:color w:val="000000"/>
                <w:sz w:val="24"/>
                <w:szCs w:val="24"/>
              </w:rPr>
              <w:t>En estos</w:t>
            </w:r>
            <w:r>
              <w:rPr>
                <w:rFonts w:ascii="Arial" w:hAnsi="Arial" w:cs="Arial"/>
                <w:color w:val="000000"/>
                <w:sz w:val="24"/>
                <w:szCs w:val="24"/>
              </w:rPr>
              <w:t xml:space="preserve"> </w:t>
            </w:r>
            <w:r w:rsidRPr="006D2B5E">
              <w:rPr>
                <w:rFonts w:ascii="Arial" w:hAnsi="Arial" w:cs="Arial"/>
                <w:color w:val="000000"/>
                <w:sz w:val="24"/>
                <w:szCs w:val="24"/>
              </w:rPr>
              <w:t xml:space="preserve">casos, la </w:t>
            </w:r>
            <w:r w:rsidRPr="002C5712">
              <w:rPr>
                <w:rFonts w:ascii="Arial" w:hAnsi="Arial" w:cs="Arial"/>
                <w:b/>
                <w:color w:val="000000"/>
                <w:sz w:val="24"/>
                <w:szCs w:val="24"/>
                <w:u w:val="single"/>
              </w:rPr>
              <w:t>repetición y/o compensación</w:t>
            </w:r>
            <w:r w:rsidRPr="006D2B5E">
              <w:rPr>
                <w:rFonts w:ascii="Arial" w:hAnsi="Arial" w:cs="Arial"/>
                <w:color w:val="000000"/>
                <w:sz w:val="24"/>
                <w:szCs w:val="24"/>
              </w:rPr>
              <w:t xml:space="preserve"> deberá ser tramitada por el contribuyente objeto</w:t>
            </w:r>
            <w:r>
              <w:rPr>
                <w:rFonts w:ascii="Arial" w:hAnsi="Arial" w:cs="Arial"/>
                <w:color w:val="000000"/>
                <w:sz w:val="24"/>
                <w:szCs w:val="24"/>
              </w:rPr>
              <w:t xml:space="preserve"> </w:t>
            </w:r>
            <w:r w:rsidRPr="006D2B5E">
              <w:rPr>
                <w:rFonts w:ascii="Arial" w:hAnsi="Arial" w:cs="Arial"/>
                <w:color w:val="000000"/>
                <w:sz w:val="24"/>
                <w:szCs w:val="24"/>
              </w:rPr>
              <w:t>de la percepción mediante el procedimiento establecido en el Código Fiscal.</w:t>
            </w:r>
          </w:p>
        </w:tc>
      </w:tr>
    </w:tbl>
    <w:p w:rsidR="00770FA4" w:rsidRDefault="00770FA4" w:rsidP="00770FA4">
      <w:pPr>
        <w:jc w:val="both"/>
        <w:rPr>
          <w:rFonts w:ascii="Arial" w:hAnsi="Arial" w:cs="Arial"/>
          <w:b/>
          <w:sz w:val="24"/>
          <w:szCs w:val="24"/>
        </w:rPr>
      </w:pPr>
    </w:p>
    <w:p w:rsidR="00770FA4" w:rsidRDefault="00770FA4" w:rsidP="00770FA4">
      <w:pPr>
        <w:jc w:val="both"/>
        <w:rPr>
          <w:rFonts w:ascii="Arial" w:hAnsi="Arial" w:cs="Arial"/>
          <w:b/>
          <w:sz w:val="24"/>
          <w:szCs w:val="24"/>
        </w:rPr>
      </w:pPr>
      <w:proofErr w:type="spellStart"/>
      <w:r>
        <w:rPr>
          <w:rFonts w:ascii="Arial" w:hAnsi="Arial" w:cs="Arial"/>
          <w:b/>
          <w:sz w:val="24"/>
          <w:szCs w:val="24"/>
        </w:rPr>
        <w:t>IDEM</w:t>
      </w:r>
      <w:proofErr w:type="spellEnd"/>
      <w:r>
        <w:rPr>
          <w:rFonts w:ascii="Arial" w:hAnsi="Arial" w:cs="Arial"/>
          <w:b/>
          <w:sz w:val="24"/>
          <w:szCs w:val="24"/>
        </w:rPr>
        <w:t>: RN (ARBA) 10/2008</w:t>
      </w:r>
    </w:p>
    <w:p w:rsidR="00770FA4" w:rsidRDefault="00770FA4" w:rsidP="00741486">
      <w:pPr>
        <w:jc w:val="both"/>
        <w:rPr>
          <w:rFonts w:ascii="Arial" w:hAnsi="Arial" w:cs="Arial"/>
          <w:sz w:val="24"/>
          <w:szCs w:val="24"/>
        </w:rPr>
      </w:pPr>
    </w:p>
    <w:p w:rsidR="00770FA4" w:rsidRDefault="00770FA4">
      <w:pPr>
        <w:rPr>
          <w:rFonts w:ascii="Arial" w:hAnsi="Arial" w:cs="Arial"/>
          <w:sz w:val="24"/>
          <w:szCs w:val="24"/>
        </w:rPr>
      </w:pPr>
      <w:r>
        <w:rPr>
          <w:rFonts w:ascii="Arial" w:hAnsi="Arial" w:cs="Arial"/>
          <w:sz w:val="24"/>
          <w:szCs w:val="24"/>
        </w:rPr>
        <w:br w:type="page"/>
      </w:r>
    </w:p>
    <w:p w:rsidR="00770FA4" w:rsidRDefault="00770FA4" w:rsidP="00741486">
      <w:pPr>
        <w:jc w:val="both"/>
        <w:rPr>
          <w:rFonts w:ascii="Arial" w:hAnsi="Arial" w:cs="Arial"/>
          <w:sz w:val="24"/>
          <w:szCs w:val="24"/>
        </w:rPr>
      </w:pPr>
    </w:p>
    <w:p w:rsidR="004A2AE5" w:rsidRDefault="004A2AE5" w:rsidP="004A2AE5">
      <w:pPr>
        <w:jc w:val="both"/>
        <w:rPr>
          <w:rFonts w:ascii="Arial" w:hAnsi="Arial" w:cs="Arial"/>
          <w:sz w:val="24"/>
          <w:szCs w:val="24"/>
        </w:rPr>
      </w:pPr>
      <w:proofErr w:type="spellStart"/>
      <w:r w:rsidRPr="008D191D">
        <w:rPr>
          <w:rFonts w:ascii="Arial" w:hAnsi="Arial" w:cs="Arial"/>
          <w:b/>
          <w:sz w:val="24"/>
          <w:szCs w:val="24"/>
          <w:u w:val="single"/>
        </w:rPr>
        <w:t>Modifícación</w:t>
      </w:r>
      <w:proofErr w:type="spellEnd"/>
      <w:r w:rsidRPr="008D191D">
        <w:rPr>
          <w:rFonts w:ascii="Arial" w:hAnsi="Arial" w:cs="Arial"/>
          <w:b/>
          <w:sz w:val="24"/>
          <w:szCs w:val="24"/>
          <w:u w:val="single"/>
        </w:rPr>
        <w:t xml:space="preserve"> del artículo 26 del Anexo I de la Resolución Nº 939/</w:t>
      </w:r>
      <w:proofErr w:type="spellStart"/>
      <w:r w:rsidRPr="008D191D">
        <w:rPr>
          <w:rFonts w:ascii="Arial" w:hAnsi="Arial" w:cs="Arial"/>
          <w:b/>
          <w:sz w:val="24"/>
          <w:szCs w:val="24"/>
          <w:u w:val="single"/>
        </w:rPr>
        <w:t>AGIP</w:t>
      </w:r>
      <w:proofErr w:type="spellEnd"/>
      <w:r w:rsidRPr="008D191D">
        <w:rPr>
          <w:rFonts w:ascii="Arial" w:hAnsi="Arial" w:cs="Arial"/>
          <w:b/>
          <w:sz w:val="24"/>
          <w:szCs w:val="24"/>
          <w:u w:val="single"/>
        </w:rPr>
        <w:t>/2013</w:t>
      </w:r>
      <w:r>
        <w:rPr>
          <w:rFonts w:ascii="Arial" w:hAnsi="Arial" w:cs="Arial"/>
          <w:b/>
          <w:sz w:val="24"/>
          <w:szCs w:val="24"/>
        </w:rPr>
        <w:t>:</w:t>
      </w:r>
    </w:p>
    <w:tbl>
      <w:tblPr>
        <w:tblStyle w:val="Tablaconcuadrcula"/>
        <w:tblW w:w="0" w:type="auto"/>
        <w:tblLook w:val="04A0"/>
      </w:tblPr>
      <w:tblGrid>
        <w:gridCol w:w="4489"/>
        <w:gridCol w:w="4489"/>
      </w:tblGrid>
      <w:tr w:rsidR="004A2AE5" w:rsidTr="006C5367">
        <w:tc>
          <w:tcPr>
            <w:tcW w:w="4489" w:type="dxa"/>
          </w:tcPr>
          <w:p w:rsidR="004A2AE5" w:rsidRPr="004A2AE5" w:rsidRDefault="004A2AE5" w:rsidP="006C5367">
            <w:pPr>
              <w:jc w:val="center"/>
              <w:rPr>
                <w:rFonts w:ascii="Arial" w:hAnsi="Arial" w:cs="Arial"/>
              </w:rPr>
            </w:pPr>
            <w:r w:rsidRPr="004A2AE5">
              <w:rPr>
                <w:rFonts w:ascii="Arial" w:hAnsi="Arial" w:cs="Arial"/>
              </w:rPr>
              <w:t>Texto actual</w:t>
            </w:r>
          </w:p>
          <w:p w:rsidR="004A2AE5" w:rsidRPr="004A2AE5" w:rsidRDefault="004A2AE5" w:rsidP="006C5367">
            <w:pPr>
              <w:shd w:val="clear" w:color="auto" w:fill="C6D9F1" w:themeFill="text2" w:themeFillTint="33"/>
              <w:jc w:val="both"/>
              <w:rPr>
                <w:rFonts w:ascii="Arial" w:hAnsi="Arial" w:cs="Arial"/>
              </w:rPr>
            </w:pPr>
          </w:p>
          <w:p w:rsidR="004A2AE5" w:rsidRPr="004A2AE5" w:rsidRDefault="004A2AE5" w:rsidP="006C5367">
            <w:pPr>
              <w:shd w:val="clear" w:color="auto" w:fill="C6D9F1" w:themeFill="text2" w:themeFillTint="33"/>
              <w:jc w:val="both"/>
              <w:rPr>
                <w:rFonts w:ascii="Arial" w:hAnsi="Arial" w:cs="Arial"/>
                <w:b/>
                <w:color w:val="000000"/>
                <w:lang w:val="es-ES"/>
              </w:rPr>
            </w:pPr>
            <w:r w:rsidRPr="004A2AE5">
              <w:rPr>
                <w:rFonts w:ascii="Arial" w:hAnsi="Arial" w:cs="Arial"/>
                <w:b/>
                <w:color w:val="000000"/>
                <w:lang w:val="es-ES"/>
              </w:rPr>
              <w:t>Compensaciones</w:t>
            </w:r>
          </w:p>
          <w:p w:rsidR="004A2AE5" w:rsidRPr="004A2AE5" w:rsidRDefault="004A2AE5" w:rsidP="006C5367">
            <w:pPr>
              <w:pStyle w:val="sangrianovedades"/>
              <w:spacing w:before="0" w:beforeAutospacing="0" w:after="0" w:afterAutospacing="0"/>
              <w:jc w:val="both"/>
              <w:rPr>
                <w:rFonts w:ascii="Arial" w:hAnsi="Arial" w:cs="Arial"/>
                <w:color w:val="000000"/>
                <w:sz w:val="22"/>
                <w:szCs w:val="22"/>
              </w:rPr>
            </w:pPr>
            <w:r w:rsidRPr="004A2AE5">
              <w:rPr>
                <w:rFonts w:ascii="Arial" w:hAnsi="Arial" w:cs="Arial"/>
                <w:sz w:val="22"/>
                <w:szCs w:val="22"/>
                <w:u w:val="single"/>
              </w:rPr>
              <w:t>Los agentes de recaudación</w:t>
            </w:r>
            <w:r w:rsidRPr="004A2AE5">
              <w:rPr>
                <w:rFonts w:ascii="Arial" w:hAnsi="Arial" w:cs="Arial"/>
                <w:sz w:val="22"/>
                <w:szCs w:val="22"/>
              </w:rPr>
              <w:t xml:space="preserve"> deberán interponer ante la Dirección General de Rentas </w:t>
            </w:r>
            <w:r w:rsidRPr="004A2AE5">
              <w:rPr>
                <w:rFonts w:ascii="Arial" w:hAnsi="Arial" w:cs="Arial"/>
                <w:sz w:val="22"/>
                <w:szCs w:val="22"/>
                <w:u w:val="single"/>
                <w:shd w:val="clear" w:color="auto" w:fill="C6D9F1" w:themeFill="text2" w:themeFillTint="33"/>
              </w:rPr>
              <w:t>el pertinente reclamo</w:t>
            </w:r>
            <w:r w:rsidRPr="004A2AE5">
              <w:rPr>
                <w:rFonts w:ascii="Arial" w:hAnsi="Arial" w:cs="Arial"/>
                <w:sz w:val="22"/>
                <w:szCs w:val="22"/>
              </w:rPr>
              <w:t>, cuando consideren que el pago ha sido indebido y sin causa.</w:t>
            </w:r>
          </w:p>
          <w:p w:rsidR="004A2AE5" w:rsidRPr="004A2AE5" w:rsidRDefault="004A2AE5" w:rsidP="006C5367">
            <w:pPr>
              <w:pStyle w:val="errepar1erfrancesnovedades"/>
              <w:spacing w:before="80" w:beforeAutospacing="0" w:after="0" w:afterAutospacing="0"/>
              <w:ind w:right="105"/>
              <w:jc w:val="both"/>
              <w:rPr>
                <w:rFonts w:ascii="Arial" w:hAnsi="Arial" w:cs="Arial"/>
                <w:color w:val="000000"/>
                <w:sz w:val="22"/>
                <w:szCs w:val="22"/>
              </w:rPr>
            </w:pPr>
            <w:r w:rsidRPr="004A2AE5">
              <w:rPr>
                <w:rFonts w:ascii="Arial" w:hAnsi="Arial" w:cs="Arial"/>
                <w:color w:val="000000"/>
                <w:sz w:val="22"/>
                <w:szCs w:val="22"/>
                <w:highlight w:val="yellow"/>
              </w:rPr>
              <w:t>Cuando se interponga el mismo, se procederá a verificar la existencia de deuda en su carácter de agente de recaudación</w:t>
            </w:r>
            <w:r w:rsidRPr="004A2AE5">
              <w:rPr>
                <w:rFonts w:ascii="Arial" w:hAnsi="Arial" w:cs="Arial"/>
                <w:color w:val="000000"/>
                <w:sz w:val="22"/>
                <w:szCs w:val="22"/>
              </w:rPr>
              <w:t>, en cuyo caso el saldo reclamado deberá aplicarse a la cancelación de dichas obligaciones, pudiendo aplicar el excedente a futuras liquidaciones correspondientes al régimen de recaudación.</w:t>
            </w:r>
          </w:p>
          <w:p w:rsidR="004A2AE5" w:rsidRPr="004A2AE5" w:rsidRDefault="004A2AE5" w:rsidP="006C5367">
            <w:pPr>
              <w:pStyle w:val="errepar1erfrancesnovedades"/>
              <w:spacing w:before="80" w:beforeAutospacing="0" w:after="0" w:afterAutospacing="0"/>
              <w:ind w:right="105"/>
              <w:jc w:val="both"/>
              <w:rPr>
                <w:rFonts w:ascii="Arial" w:hAnsi="Arial" w:cs="Arial"/>
                <w:color w:val="000000"/>
                <w:sz w:val="22"/>
                <w:szCs w:val="22"/>
              </w:rPr>
            </w:pPr>
            <w:r w:rsidRPr="004A2AE5">
              <w:rPr>
                <w:rFonts w:ascii="Arial" w:hAnsi="Arial" w:cs="Arial"/>
                <w:color w:val="000000"/>
                <w:sz w:val="22"/>
                <w:szCs w:val="22"/>
                <w:highlight w:val="yellow"/>
              </w:rPr>
              <w:t>No será susceptible de compensación el saldo a favor como contribuyente de cualquier tributo al que se encuentre obligado, con el saldo resultante de la/s declaración/es jurada/s presentadas en su carácter de agente de recaudación.</w:t>
            </w:r>
          </w:p>
          <w:p w:rsidR="004A2AE5" w:rsidRPr="004A2AE5" w:rsidRDefault="004A2AE5" w:rsidP="006C5367">
            <w:pPr>
              <w:jc w:val="both"/>
              <w:rPr>
                <w:rFonts w:ascii="Arial" w:hAnsi="Arial" w:cs="Arial"/>
              </w:rPr>
            </w:pPr>
          </w:p>
        </w:tc>
        <w:tc>
          <w:tcPr>
            <w:tcW w:w="4489" w:type="dxa"/>
          </w:tcPr>
          <w:p w:rsidR="004A2AE5" w:rsidRPr="004A2AE5" w:rsidRDefault="004A2AE5" w:rsidP="006C5367">
            <w:pPr>
              <w:jc w:val="center"/>
              <w:rPr>
                <w:rFonts w:ascii="Arial" w:hAnsi="Arial" w:cs="Arial"/>
              </w:rPr>
            </w:pPr>
            <w:r w:rsidRPr="004A2AE5">
              <w:rPr>
                <w:rFonts w:ascii="Arial" w:hAnsi="Arial" w:cs="Arial"/>
              </w:rPr>
              <w:t>Texto anterior</w:t>
            </w:r>
          </w:p>
          <w:p w:rsidR="004A2AE5" w:rsidRPr="004A2AE5" w:rsidRDefault="004A2AE5" w:rsidP="006C5367">
            <w:pPr>
              <w:jc w:val="both"/>
              <w:rPr>
                <w:rFonts w:ascii="Arial" w:hAnsi="Arial" w:cs="Arial"/>
              </w:rPr>
            </w:pPr>
          </w:p>
          <w:p w:rsidR="004A2AE5" w:rsidRPr="004A2AE5" w:rsidRDefault="004A2AE5" w:rsidP="006C5367">
            <w:pPr>
              <w:jc w:val="both"/>
              <w:rPr>
                <w:rFonts w:ascii="Arial" w:hAnsi="Arial" w:cs="Arial"/>
                <w:b/>
                <w:color w:val="000000"/>
                <w:lang w:val="es-ES"/>
              </w:rPr>
            </w:pPr>
            <w:r w:rsidRPr="004A2AE5">
              <w:rPr>
                <w:rFonts w:ascii="Arial" w:hAnsi="Arial" w:cs="Arial"/>
                <w:b/>
                <w:color w:val="000000"/>
                <w:lang w:val="es-ES"/>
              </w:rPr>
              <w:t>Compensaciones</w:t>
            </w:r>
          </w:p>
          <w:p w:rsidR="004A2AE5" w:rsidRPr="004A2AE5" w:rsidRDefault="004A2AE5" w:rsidP="006C5367">
            <w:pPr>
              <w:jc w:val="both"/>
              <w:rPr>
                <w:rFonts w:ascii="Arial" w:hAnsi="Arial" w:cs="Arial"/>
                <w:b/>
                <w:color w:val="000000"/>
                <w:lang w:val="es-ES"/>
              </w:rPr>
            </w:pPr>
            <w:r w:rsidRPr="004A2AE5">
              <w:rPr>
                <w:rFonts w:ascii="Arial" w:hAnsi="Arial" w:cs="Arial"/>
              </w:rPr>
              <w:t xml:space="preserve">Es requisito para efectuar la compensación la interposición ante la Dirección General de Rentas del pertinente reclamo, </w:t>
            </w:r>
            <w:r w:rsidRPr="004A2AE5">
              <w:rPr>
                <w:rFonts w:ascii="Arial" w:hAnsi="Arial" w:cs="Arial"/>
                <w:highlight w:val="yellow"/>
              </w:rPr>
              <w:t>quien procederá a verificar que el contribuyente no registre deudas líquidas y exigibles por cualquier otro tributo al que se encuentre obligado ante la Administración.</w:t>
            </w:r>
            <w:r w:rsidRPr="004A2AE5">
              <w:rPr>
                <w:rFonts w:ascii="Arial" w:hAnsi="Arial" w:cs="Arial"/>
              </w:rPr>
              <w:t xml:space="preserve"> En caso de existir deudas, las mismas deben ser previamente canceladas. La Dirección General de Rentas, con posterioridad a la compensación formalizada por el contribuyente, procederá a verificar la verosimilitud de los saldos acreedores y su correcta imputación, de acuerdo con los términos del artículo 65 del Código Fiscal (</w:t>
            </w:r>
            <w:proofErr w:type="spellStart"/>
            <w:r w:rsidRPr="004A2AE5">
              <w:rPr>
                <w:rFonts w:ascii="Arial" w:hAnsi="Arial" w:cs="Arial"/>
              </w:rPr>
              <w:t>t.o.</w:t>
            </w:r>
            <w:proofErr w:type="spellEnd"/>
            <w:r w:rsidRPr="004A2AE5">
              <w:rPr>
                <w:rFonts w:ascii="Arial" w:hAnsi="Arial" w:cs="Arial"/>
              </w:rPr>
              <w:t xml:space="preserve"> 2013) y concordantes de años anteriores. </w:t>
            </w:r>
          </w:p>
          <w:p w:rsidR="004A2AE5" w:rsidRPr="004A2AE5" w:rsidRDefault="004A2AE5" w:rsidP="006C5367">
            <w:pPr>
              <w:jc w:val="both"/>
              <w:rPr>
                <w:rFonts w:ascii="Arial" w:hAnsi="Arial" w:cs="Arial"/>
              </w:rPr>
            </w:pPr>
          </w:p>
          <w:p w:rsidR="004A2AE5" w:rsidRPr="004A2AE5" w:rsidRDefault="004A2AE5" w:rsidP="006C5367">
            <w:pPr>
              <w:jc w:val="both"/>
              <w:rPr>
                <w:rFonts w:ascii="Arial" w:hAnsi="Arial" w:cs="Arial"/>
              </w:rPr>
            </w:pPr>
          </w:p>
          <w:p w:rsidR="004A2AE5" w:rsidRPr="004A2AE5" w:rsidRDefault="004A2AE5" w:rsidP="006C5367">
            <w:pPr>
              <w:jc w:val="both"/>
              <w:rPr>
                <w:rFonts w:ascii="Arial" w:hAnsi="Arial" w:cs="Arial"/>
              </w:rPr>
            </w:pPr>
          </w:p>
          <w:p w:rsidR="004A2AE5" w:rsidRPr="004A2AE5" w:rsidRDefault="004A2AE5" w:rsidP="006C5367">
            <w:pPr>
              <w:jc w:val="both"/>
              <w:rPr>
                <w:rFonts w:ascii="Arial" w:hAnsi="Arial" w:cs="Arial"/>
              </w:rPr>
            </w:pPr>
          </w:p>
        </w:tc>
      </w:tr>
    </w:tbl>
    <w:p w:rsidR="004A2AE5" w:rsidRDefault="004A2AE5" w:rsidP="00741486">
      <w:pPr>
        <w:jc w:val="both"/>
        <w:rPr>
          <w:rFonts w:ascii="Arial" w:hAnsi="Arial" w:cs="Arial"/>
          <w:sz w:val="24"/>
          <w:szCs w:val="24"/>
        </w:rPr>
      </w:pPr>
    </w:p>
    <w:p w:rsidR="00494FFB" w:rsidRPr="00770FA4" w:rsidRDefault="00494FFB" w:rsidP="00770FA4">
      <w:pPr>
        <w:rPr>
          <w:rFonts w:ascii="Arial" w:hAnsi="Arial" w:cs="Arial"/>
          <w:b/>
          <w:sz w:val="24"/>
          <w:szCs w:val="24"/>
        </w:rPr>
      </w:pPr>
    </w:p>
    <w:p w:rsidR="004A2AE5" w:rsidRDefault="004A2AE5">
      <w:pPr>
        <w:rPr>
          <w:rFonts w:ascii="Arial" w:hAnsi="Arial" w:cs="Arial"/>
          <w:sz w:val="24"/>
          <w:szCs w:val="24"/>
          <w:lang w:val="es-ES"/>
        </w:rPr>
      </w:pPr>
      <w:r>
        <w:rPr>
          <w:rFonts w:ascii="Arial" w:hAnsi="Arial" w:cs="Arial"/>
          <w:sz w:val="24"/>
          <w:szCs w:val="24"/>
          <w:lang w:val="es-ES"/>
        </w:rPr>
        <w:br w:type="page"/>
      </w:r>
    </w:p>
    <w:p w:rsidR="004A2AE5" w:rsidRPr="00494FFB" w:rsidRDefault="004A2AE5" w:rsidP="00494FFB">
      <w:pPr>
        <w:jc w:val="both"/>
        <w:rPr>
          <w:rFonts w:ascii="Arial" w:hAnsi="Arial" w:cs="Arial"/>
          <w:sz w:val="24"/>
          <w:szCs w:val="24"/>
          <w:lang w:val="es-ES"/>
        </w:rPr>
      </w:pPr>
    </w:p>
    <w:p w:rsidR="00AF7292" w:rsidRDefault="006D42CE" w:rsidP="00F2053C">
      <w:pPr>
        <w:jc w:val="both"/>
        <w:rPr>
          <w:rFonts w:ascii="Arial" w:hAnsi="Arial" w:cs="Arial"/>
          <w:sz w:val="24"/>
          <w:szCs w:val="24"/>
        </w:rPr>
      </w:pPr>
      <w:r w:rsidRPr="008D191D">
        <w:rPr>
          <w:rFonts w:ascii="Arial" w:hAnsi="Arial" w:cs="Arial"/>
          <w:b/>
          <w:sz w:val="24"/>
          <w:szCs w:val="24"/>
          <w:u w:val="single"/>
        </w:rPr>
        <w:t xml:space="preserve">Artículo 12.- Sustitución </w:t>
      </w:r>
      <w:r w:rsidR="00454113" w:rsidRPr="008D191D">
        <w:rPr>
          <w:rFonts w:ascii="Arial" w:hAnsi="Arial" w:cs="Arial"/>
          <w:b/>
          <w:sz w:val="24"/>
          <w:szCs w:val="24"/>
          <w:u w:val="single"/>
        </w:rPr>
        <w:t>d</w:t>
      </w:r>
      <w:r w:rsidRPr="008D191D">
        <w:rPr>
          <w:rFonts w:ascii="Arial" w:hAnsi="Arial" w:cs="Arial"/>
          <w:b/>
          <w:sz w:val="24"/>
          <w:szCs w:val="24"/>
          <w:u w:val="single"/>
        </w:rPr>
        <w:t>el artículo 42 del Anexo I de la Resolución Nº 939/AGIP/2013</w:t>
      </w:r>
      <w:r>
        <w:rPr>
          <w:rFonts w:ascii="Arial" w:hAnsi="Arial" w:cs="Arial"/>
          <w:sz w:val="24"/>
          <w:szCs w:val="24"/>
        </w:rPr>
        <w:t>:</w:t>
      </w:r>
    </w:p>
    <w:tbl>
      <w:tblPr>
        <w:tblStyle w:val="Tablaconcuadrcula"/>
        <w:tblW w:w="0" w:type="auto"/>
        <w:tblLook w:val="04A0"/>
      </w:tblPr>
      <w:tblGrid>
        <w:gridCol w:w="8978"/>
      </w:tblGrid>
      <w:tr w:rsidR="00770FA4" w:rsidTr="000F69A9">
        <w:tc>
          <w:tcPr>
            <w:tcW w:w="8978" w:type="dxa"/>
          </w:tcPr>
          <w:p w:rsidR="00770FA4" w:rsidRDefault="00770FA4" w:rsidP="00770FA4">
            <w:pPr>
              <w:jc w:val="both"/>
              <w:rPr>
                <w:rFonts w:ascii="Arial" w:hAnsi="Arial" w:cs="Arial"/>
                <w:sz w:val="24"/>
                <w:szCs w:val="24"/>
              </w:rPr>
            </w:pPr>
            <w:r>
              <w:rPr>
                <w:rFonts w:ascii="Arial" w:hAnsi="Arial" w:cs="Arial"/>
                <w:sz w:val="24"/>
                <w:szCs w:val="24"/>
              </w:rPr>
              <w:t>Texto actual</w:t>
            </w:r>
          </w:p>
          <w:p w:rsidR="00770FA4" w:rsidRDefault="00770FA4" w:rsidP="00770FA4">
            <w:pPr>
              <w:jc w:val="both"/>
              <w:rPr>
                <w:rFonts w:ascii="Arial" w:hAnsi="Arial" w:cs="Arial"/>
                <w:sz w:val="24"/>
                <w:szCs w:val="24"/>
              </w:rPr>
            </w:pPr>
          </w:p>
          <w:p w:rsidR="00770FA4" w:rsidRDefault="00770FA4" w:rsidP="00770FA4">
            <w:pPr>
              <w:jc w:val="both"/>
              <w:rPr>
                <w:rFonts w:ascii="Arial" w:hAnsi="Arial" w:cs="Arial"/>
                <w:b/>
                <w:sz w:val="24"/>
                <w:szCs w:val="24"/>
              </w:rPr>
            </w:pPr>
            <w:r w:rsidRPr="006D42CE">
              <w:rPr>
                <w:rFonts w:ascii="Arial" w:hAnsi="Arial" w:cs="Arial"/>
                <w:b/>
                <w:sz w:val="24"/>
                <w:szCs w:val="24"/>
              </w:rPr>
              <w:t>Alícuotas de retención</w:t>
            </w:r>
          </w:p>
          <w:p w:rsidR="00770FA4" w:rsidRDefault="00770FA4" w:rsidP="00770FA4">
            <w:pPr>
              <w:jc w:val="both"/>
              <w:rPr>
                <w:rFonts w:ascii="Arial" w:hAnsi="Arial" w:cs="Arial"/>
                <w:b/>
                <w:sz w:val="24"/>
                <w:szCs w:val="24"/>
              </w:rPr>
            </w:pPr>
          </w:p>
          <w:p w:rsidR="00770FA4" w:rsidRPr="00D77677" w:rsidRDefault="00770FA4" w:rsidP="00770FA4">
            <w:pPr>
              <w:spacing w:before="80"/>
              <w:ind w:right="105"/>
              <w:jc w:val="both"/>
              <w:rPr>
                <w:rFonts w:ascii="Arial" w:hAnsi="Arial" w:cs="Arial"/>
                <w:bCs/>
                <w:color w:val="000000"/>
                <w:sz w:val="24"/>
                <w:szCs w:val="24"/>
                <w:lang w:val="es-ES"/>
              </w:rPr>
            </w:pPr>
            <w:r w:rsidRPr="00D77677">
              <w:rPr>
                <w:rFonts w:ascii="Arial" w:hAnsi="Arial" w:cs="Arial"/>
                <w:color w:val="000000"/>
                <w:sz w:val="24"/>
                <w:szCs w:val="24"/>
                <w:lang w:val="es-ES"/>
              </w:rPr>
              <w:t>A los fines de la liquidación de la retención se aplicará la alícuota que establece el Padrón de Regímenes Generales.</w:t>
            </w:r>
          </w:p>
          <w:p w:rsidR="00770FA4" w:rsidRPr="00D77677" w:rsidRDefault="00770FA4" w:rsidP="00770FA4">
            <w:pPr>
              <w:spacing w:before="80"/>
              <w:ind w:right="105"/>
              <w:jc w:val="both"/>
              <w:rPr>
                <w:rFonts w:ascii="Arial" w:hAnsi="Arial" w:cs="Arial"/>
                <w:bCs/>
                <w:color w:val="000000"/>
                <w:sz w:val="24"/>
                <w:szCs w:val="24"/>
                <w:lang w:val="es-ES"/>
              </w:rPr>
            </w:pPr>
            <w:r w:rsidRPr="00D77677">
              <w:rPr>
                <w:rFonts w:ascii="Arial" w:hAnsi="Arial" w:cs="Arial"/>
                <w:color w:val="000000"/>
                <w:sz w:val="24"/>
                <w:szCs w:val="24"/>
                <w:lang w:val="es-ES"/>
              </w:rPr>
              <w:t>Para establecer la alícuota aplicable a cada contribuyente se utilizará la tabla consignada a continuación integrada por dieciséis (16) grupos respecto de los cuales se le aplicará la alícuota correspondiente a cada uno de ellos.</w:t>
            </w:r>
          </w:p>
          <w:p w:rsidR="00770FA4" w:rsidRPr="00D77677" w:rsidRDefault="00770FA4" w:rsidP="00770FA4">
            <w:pPr>
              <w:spacing w:before="105" w:after="105"/>
              <w:ind w:left="105" w:right="105"/>
              <w:rPr>
                <w:rFonts w:ascii="Arial" w:hAnsi="Arial" w:cs="Arial"/>
                <w:bCs/>
                <w:color w:val="000000"/>
                <w:sz w:val="24"/>
                <w:szCs w:val="24"/>
                <w:lang w:val="es-ES"/>
              </w:rPr>
            </w:pPr>
            <w:r w:rsidRPr="00D77677">
              <w:rPr>
                <w:rFonts w:ascii="Arial" w:hAnsi="Arial" w:cs="Arial"/>
                <w:color w:val="000000"/>
                <w:sz w:val="24"/>
                <w:szCs w:val="24"/>
                <w:lang w:val="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000"/>
            </w:tblPr>
            <w:tblGrid>
              <w:gridCol w:w="2675"/>
              <w:gridCol w:w="1088"/>
            </w:tblGrid>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vAlign w:val="center"/>
                </w:tcPr>
                <w:p w:rsidR="00770FA4" w:rsidRPr="009B5EAD" w:rsidRDefault="00770FA4" w:rsidP="006C5367">
                  <w:pPr>
                    <w:spacing w:line="15" w:lineRule="atLeast"/>
                    <w:ind w:left="105" w:right="105"/>
                    <w:jc w:val="center"/>
                    <w:rPr>
                      <w:rFonts w:ascii="Arial" w:hAnsi="Arial" w:cs="Arial"/>
                      <w:bCs/>
                      <w:color w:val="000000"/>
                      <w:sz w:val="24"/>
                      <w:szCs w:val="24"/>
                      <w:lang w:val="es-ES"/>
                    </w:rPr>
                  </w:pPr>
                  <w:r w:rsidRPr="009B5EAD">
                    <w:rPr>
                      <w:rFonts w:ascii="Arial" w:hAnsi="Arial" w:cs="Arial"/>
                      <w:color w:val="000000"/>
                      <w:sz w:val="24"/>
                      <w:szCs w:val="24"/>
                      <w:lang w:val="es-ES"/>
                    </w:rPr>
                    <w:t>Alícuota de retención</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vAlign w:val="center"/>
                </w:tcPr>
                <w:p w:rsidR="00770FA4" w:rsidRPr="009B5EAD" w:rsidRDefault="00770FA4" w:rsidP="006C5367">
                  <w:pPr>
                    <w:spacing w:line="15" w:lineRule="atLeast"/>
                    <w:ind w:left="105" w:right="105"/>
                    <w:jc w:val="center"/>
                    <w:rPr>
                      <w:rFonts w:ascii="Arial" w:hAnsi="Arial" w:cs="Arial"/>
                      <w:bCs/>
                      <w:color w:val="000000"/>
                      <w:sz w:val="24"/>
                      <w:szCs w:val="24"/>
                      <w:lang w:val="es-ES"/>
                    </w:rPr>
                  </w:pPr>
                  <w:r w:rsidRPr="009B5EAD">
                    <w:rPr>
                      <w:rFonts w:ascii="Arial" w:hAnsi="Arial" w:cs="Arial"/>
                      <w:color w:val="000000"/>
                      <w:sz w:val="24"/>
                      <w:szCs w:val="24"/>
                      <w:lang w:val="es-ES"/>
                    </w:rPr>
                    <w:t>Grupo</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3</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4</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5</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0,90%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6</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7</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8</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9</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10</w:t>
                  </w:r>
                </w:p>
              </w:tc>
            </w:tr>
            <w:tr w:rsidR="00770FA4" w:rsidRPr="00D77677" w:rsidTr="006C5367">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11</w:t>
                  </w:r>
                </w:p>
              </w:tc>
            </w:tr>
            <w:tr w:rsidR="00770FA4" w:rsidRPr="00D77677" w:rsidTr="00770FA4">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12</w:t>
                  </w:r>
                </w:p>
              </w:tc>
            </w:tr>
            <w:tr w:rsidR="00770FA4" w:rsidRPr="00D77677" w:rsidTr="00770FA4">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13</w:t>
                  </w:r>
                </w:p>
              </w:tc>
            </w:tr>
            <w:tr w:rsidR="00770FA4" w:rsidRPr="00D77677" w:rsidTr="00770FA4">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14</w:t>
                  </w:r>
                </w:p>
              </w:tc>
            </w:tr>
            <w:tr w:rsidR="00770FA4" w:rsidRPr="00D77677" w:rsidTr="00770FA4">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15</w:t>
                  </w:r>
                </w:p>
              </w:tc>
            </w:tr>
            <w:tr w:rsidR="00770FA4" w:rsidRPr="00D77677" w:rsidTr="00770FA4">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6C5367">
                  <w:pPr>
                    <w:spacing w:line="15" w:lineRule="atLeast"/>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16</w:t>
                  </w:r>
                </w:p>
              </w:tc>
            </w:tr>
          </w:tbl>
          <w:p w:rsidR="00770FA4" w:rsidRPr="002F44A2" w:rsidRDefault="00770FA4" w:rsidP="00770FA4">
            <w:pPr>
              <w:spacing w:before="105" w:after="105"/>
              <w:ind w:right="105"/>
              <w:rPr>
                <w:rFonts w:ascii="Arial" w:hAnsi="Arial" w:cs="Arial"/>
                <w:bCs/>
                <w:color w:val="000000"/>
                <w:sz w:val="24"/>
                <w:szCs w:val="24"/>
                <w:lang w:val="es-ES"/>
              </w:rPr>
            </w:pPr>
            <w:r w:rsidRPr="00D77677">
              <w:rPr>
                <w:rFonts w:ascii="Arial" w:hAnsi="Arial" w:cs="Arial"/>
                <w:color w:val="000000"/>
                <w:sz w:val="24"/>
                <w:szCs w:val="24"/>
                <w:lang w:val="es-ES"/>
              </w:rPr>
              <w:lastRenderedPageBreak/>
              <w:t xml:space="preserve">Cuando el agente de retención realice una operación alcanzada por el presente régimen con un sujeto pasible de retención no incluido en el Padrón de Regímenes Generales, deberá retener el impuesto aplicando sobre el monto determinado, de conformidad al artículo 10, </w:t>
            </w:r>
            <w:r w:rsidRPr="002F44A2">
              <w:rPr>
                <w:rFonts w:ascii="Arial" w:hAnsi="Arial" w:cs="Arial"/>
                <w:color w:val="000000"/>
                <w:sz w:val="24"/>
                <w:szCs w:val="24"/>
                <w:highlight w:val="yellow"/>
                <w:lang w:val="es-ES"/>
              </w:rPr>
              <w:t>la alícuota del 4,50% (antes 4%).</w:t>
            </w:r>
          </w:p>
          <w:p w:rsidR="00770FA4" w:rsidRPr="00D77677" w:rsidRDefault="00770FA4" w:rsidP="00770FA4">
            <w:pPr>
              <w:spacing w:before="105" w:after="105"/>
              <w:ind w:right="105"/>
              <w:rPr>
                <w:rFonts w:ascii="Arial" w:hAnsi="Arial" w:cs="Arial"/>
                <w:bCs/>
                <w:color w:val="000000"/>
                <w:sz w:val="24"/>
                <w:szCs w:val="24"/>
                <w:lang w:val="es-ES"/>
              </w:rPr>
            </w:pPr>
            <w:r w:rsidRPr="00D77677">
              <w:rPr>
                <w:rFonts w:ascii="Arial" w:hAnsi="Arial" w:cs="Arial"/>
                <w:color w:val="000000"/>
                <w:sz w:val="24"/>
                <w:szCs w:val="24"/>
                <w:lang w:val="es-ES"/>
              </w:rPr>
              <w:t>En los casos en que por desperfectos técnicos no resulte factible consultar el Padrón de Regímenes Generales, se aplicará una alícuota del tres por ciento (3%).</w:t>
            </w:r>
          </w:p>
          <w:p w:rsidR="00770FA4" w:rsidRPr="002F44A2" w:rsidRDefault="00770FA4" w:rsidP="00770FA4">
            <w:pPr>
              <w:spacing w:before="80"/>
              <w:ind w:right="105"/>
              <w:jc w:val="both"/>
              <w:rPr>
                <w:rFonts w:ascii="Arial" w:hAnsi="Arial" w:cs="Arial"/>
                <w:bCs/>
                <w:color w:val="000000"/>
                <w:sz w:val="24"/>
                <w:szCs w:val="24"/>
                <w:lang w:val="es-ES"/>
              </w:rPr>
            </w:pPr>
            <w:r w:rsidRPr="00D77677">
              <w:rPr>
                <w:rFonts w:ascii="Arial" w:hAnsi="Arial" w:cs="Arial"/>
                <w:color w:val="000000"/>
                <w:sz w:val="24"/>
                <w:szCs w:val="24"/>
                <w:lang w:val="es-ES"/>
              </w:rPr>
              <w:t xml:space="preserve">Sin perjuicio de lo expresado, </w:t>
            </w:r>
            <w:r w:rsidRPr="002F44A2">
              <w:rPr>
                <w:rFonts w:ascii="Arial" w:hAnsi="Arial" w:cs="Arial"/>
                <w:color w:val="000000"/>
                <w:sz w:val="24"/>
                <w:szCs w:val="24"/>
                <w:highlight w:val="yellow"/>
                <w:lang w:val="es-ES"/>
              </w:rPr>
              <w:t>si el contribuyente retenido forma parte del Padrón de Riesgo Fiscal tendrá preeminencia la alícuota que establezca este último.</w:t>
            </w:r>
          </w:p>
          <w:p w:rsidR="00770FA4" w:rsidRPr="00770FA4" w:rsidRDefault="00770FA4" w:rsidP="00770FA4">
            <w:pPr>
              <w:spacing w:before="80"/>
              <w:ind w:right="105"/>
              <w:jc w:val="both"/>
              <w:rPr>
                <w:rFonts w:ascii="Arial" w:hAnsi="Arial" w:cs="Arial"/>
                <w:bCs/>
                <w:color w:val="000000"/>
                <w:sz w:val="24"/>
                <w:szCs w:val="24"/>
                <w:lang w:val="es-ES"/>
              </w:rPr>
            </w:pPr>
            <w:r w:rsidRPr="00D77677">
              <w:rPr>
                <w:rFonts w:ascii="Arial" w:hAnsi="Arial" w:cs="Arial"/>
                <w:color w:val="000000"/>
                <w:sz w:val="24"/>
                <w:szCs w:val="24"/>
                <w:lang w:val="es-ES"/>
              </w:rPr>
              <w:t>La retención aludida no implica variación alguna en la forma de cálculo de los correspondientes anticipos del impuesto para los sujetos pasivos de la retención.</w:t>
            </w:r>
          </w:p>
        </w:tc>
      </w:tr>
    </w:tbl>
    <w:p w:rsidR="006D42CE" w:rsidRDefault="006D42CE" w:rsidP="00F2053C">
      <w:pPr>
        <w:jc w:val="both"/>
        <w:rPr>
          <w:rFonts w:ascii="Arial" w:hAnsi="Arial" w:cs="Arial"/>
          <w:sz w:val="24"/>
          <w:szCs w:val="24"/>
        </w:rPr>
      </w:pPr>
    </w:p>
    <w:p w:rsidR="00770FA4" w:rsidRDefault="00770FA4">
      <w:pPr>
        <w:rPr>
          <w:rFonts w:ascii="Arial" w:hAnsi="Arial" w:cs="Arial"/>
          <w:sz w:val="24"/>
          <w:szCs w:val="24"/>
        </w:rPr>
      </w:pPr>
      <w:r>
        <w:rPr>
          <w:rFonts w:ascii="Arial" w:hAnsi="Arial" w:cs="Arial"/>
          <w:sz w:val="24"/>
          <w:szCs w:val="24"/>
        </w:rPr>
        <w:br w:type="page"/>
      </w:r>
    </w:p>
    <w:p w:rsidR="00770FA4" w:rsidRDefault="00770FA4" w:rsidP="00F2053C">
      <w:pPr>
        <w:jc w:val="both"/>
        <w:rPr>
          <w:rFonts w:ascii="Arial" w:hAnsi="Arial" w:cs="Arial"/>
          <w:sz w:val="24"/>
          <w:szCs w:val="24"/>
        </w:rPr>
      </w:pPr>
    </w:p>
    <w:p w:rsidR="007655D5" w:rsidRPr="007655D5" w:rsidRDefault="007655D5" w:rsidP="00040122">
      <w:pPr>
        <w:jc w:val="both"/>
        <w:rPr>
          <w:rFonts w:ascii="Arial" w:hAnsi="Arial" w:cs="Arial"/>
          <w:bCs/>
          <w:sz w:val="24"/>
          <w:szCs w:val="24"/>
          <w:lang w:val="es-ES"/>
        </w:rPr>
      </w:pPr>
    </w:p>
    <w:p w:rsidR="00E63D9A" w:rsidRDefault="00DC4C08" w:rsidP="00BA69CA">
      <w:pPr>
        <w:spacing w:before="80"/>
        <w:ind w:right="105"/>
        <w:jc w:val="both"/>
        <w:rPr>
          <w:rFonts w:ascii="Arial" w:hAnsi="Arial" w:cs="Arial"/>
          <w:bCs/>
          <w:color w:val="000000"/>
          <w:sz w:val="24"/>
          <w:szCs w:val="24"/>
        </w:rPr>
      </w:pPr>
      <w:r w:rsidRPr="00DC4C08">
        <w:rPr>
          <w:rFonts w:ascii="Arial" w:hAnsi="Arial" w:cs="Arial"/>
          <w:b/>
          <w:bCs/>
          <w:color w:val="000000"/>
          <w:sz w:val="24"/>
          <w:szCs w:val="24"/>
          <w:u w:val="single"/>
        </w:rPr>
        <w:t xml:space="preserve">Artículo 16.- </w:t>
      </w:r>
      <w:proofErr w:type="spellStart"/>
      <w:r w:rsidRPr="00DC4C08">
        <w:rPr>
          <w:rFonts w:ascii="Arial" w:hAnsi="Arial" w:cs="Arial"/>
          <w:b/>
          <w:bCs/>
          <w:color w:val="000000"/>
          <w:sz w:val="24"/>
          <w:szCs w:val="24"/>
          <w:u w:val="single"/>
        </w:rPr>
        <w:t>Sustitúyese</w:t>
      </w:r>
      <w:proofErr w:type="spellEnd"/>
      <w:r w:rsidRPr="00DC4C08">
        <w:rPr>
          <w:rFonts w:ascii="Arial" w:hAnsi="Arial" w:cs="Arial"/>
          <w:b/>
          <w:bCs/>
          <w:color w:val="000000"/>
          <w:sz w:val="24"/>
          <w:szCs w:val="24"/>
          <w:u w:val="single"/>
        </w:rPr>
        <w:t xml:space="preserve"> el artículo 75 del Anexo I de la Resolución Nº 939/AGIP/2013</w:t>
      </w:r>
      <w:r>
        <w:rPr>
          <w:rFonts w:ascii="Arial" w:hAnsi="Arial" w:cs="Arial"/>
          <w:b/>
          <w:bCs/>
          <w:color w:val="000000"/>
          <w:sz w:val="24"/>
          <w:szCs w:val="24"/>
        </w:rPr>
        <w:t>:</w:t>
      </w:r>
    </w:p>
    <w:tbl>
      <w:tblPr>
        <w:tblStyle w:val="Tablaconcuadrcula"/>
        <w:tblW w:w="0" w:type="auto"/>
        <w:tblLook w:val="04A0"/>
      </w:tblPr>
      <w:tblGrid>
        <w:gridCol w:w="8897"/>
      </w:tblGrid>
      <w:tr w:rsidR="00770FA4" w:rsidTr="00770FA4">
        <w:tc>
          <w:tcPr>
            <w:tcW w:w="8897" w:type="dxa"/>
          </w:tcPr>
          <w:p w:rsidR="00770FA4" w:rsidRDefault="00770FA4" w:rsidP="00770FA4">
            <w:pPr>
              <w:spacing w:before="80"/>
              <w:ind w:right="105"/>
              <w:jc w:val="center"/>
              <w:rPr>
                <w:rFonts w:ascii="Arial" w:hAnsi="Arial" w:cs="Arial"/>
                <w:bCs/>
                <w:color w:val="000000"/>
                <w:sz w:val="24"/>
                <w:szCs w:val="24"/>
                <w:lang w:val="es-ES"/>
              </w:rPr>
            </w:pPr>
            <w:r>
              <w:rPr>
                <w:rFonts w:ascii="Arial" w:hAnsi="Arial" w:cs="Arial"/>
                <w:bCs/>
                <w:color w:val="000000"/>
                <w:sz w:val="24"/>
                <w:szCs w:val="24"/>
                <w:lang w:val="es-ES"/>
              </w:rPr>
              <w:t>Texto actual</w:t>
            </w:r>
          </w:p>
          <w:p w:rsidR="00770FA4" w:rsidRDefault="00770FA4" w:rsidP="00BA69CA">
            <w:pPr>
              <w:spacing w:before="80"/>
              <w:ind w:right="105"/>
              <w:jc w:val="both"/>
              <w:rPr>
                <w:rFonts w:ascii="Arial" w:hAnsi="Arial" w:cs="Arial"/>
                <w:bCs/>
                <w:color w:val="000000"/>
                <w:sz w:val="24"/>
                <w:szCs w:val="24"/>
                <w:lang w:val="es-ES"/>
              </w:rPr>
            </w:pPr>
          </w:p>
          <w:p w:rsidR="00770FA4" w:rsidRDefault="00770FA4" w:rsidP="00BA69CA">
            <w:pPr>
              <w:spacing w:before="80"/>
              <w:ind w:right="105"/>
              <w:jc w:val="both"/>
              <w:rPr>
                <w:rFonts w:ascii="Arial" w:hAnsi="Arial" w:cs="Arial"/>
                <w:b/>
                <w:bCs/>
                <w:color w:val="000000"/>
                <w:sz w:val="24"/>
                <w:szCs w:val="24"/>
                <w:lang w:val="es-ES"/>
              </w:rPr>
            </w:pPr>
            <w:r w:rsidRPr="00DC4C08">
              <w:rPr>
                <w:rFonts w:ascii="Arial" w:hAnsi="Arial" w:cs="Arial"/>
                <w:b/>
                <w:bCs/>
                <w:color w:val="000000"/>
                <w:sz w:val="24"/>
                <w:szCs w:val="24"/>
                <w:lang w:val="es-ES"/>
              </w:rPr>
              <w:t>Alícuotas de percepción</w:t>
            </w:r>
          </w:p>
          <w:p w:rsidR="00770FA4" w:rsidRPr="00D77677" w:rsidRDefault="00770FA4" w:rsidP="00DC4C08">
            <w:pPr>
              <w:spacing w:before="80"/>
              <w:ind w:right="105"/>
              <w:jc w:val="both"/>
              <w:rPr>
                <w:rFonts w:ascii="Arial" w:hAnsi="Arial" w:cs="Arial"/>
                <w:bCs/>
                <w:color w:val="000000"/>
                <w:sz w:val="24"/>
                <w:szCs w:val="24"/>
                <w:lang w:val="es-ES"/>
              </w:rPr>
            </w:pPr>
            <w:r w:rsidRPr="00D77677">
              <w:rPr>
                <w:rFonts w:ascii="Arial" w:hAnsi="Arial" w:cs="Arial"/>
                <w:color w:val="000000"/>
                <w:sz w:val="24"/>
                <w:szCs w:val="24"/>
                <w:lang w:val="es-ES"/>
              </w:rPr>
              <w:t>A los fines de la liquidación de la percepción se aplicará la alícuota que establece el Padrón de Regímenes Generales.</w:t>
            </w:r>
          </w:p>
          <w:p w:rsidR="00770FA4" w:rsidRPr="00D77677" w:rsidRDefault="00770FA4" w:rsidP="00DC4C08">
            <w:pPr>
              <w:spacing w:before="80"/>
              <w:ind w:right="105"/>
              <w:jc w:val="both"/>
              <w:rPr>
                <w:rFonts w:ascii="Arial" w:hAnsi="Arial" w:cs="Arial"/>
                <w:bCs/>
                <w:color w:val="000000"/>
                <w:sz w:val="24"/>
                <w:szCs w:val="24"/>
                <w:lang w:val="es-ES"/>
              </w:rPr>
            </w:pPr>
            <w:r w:rsidRPr="00D77677">
              <w:rPr>
                <w:rFonts w:ascii="Arial" w:hAnsi="Arial" w:cs="Arial"/>
                <w:color w:val="000000"/>
                <w:sz w:val="24"/>
                <w:szCs w:val="24"/>
                <w:lang w:val="es-ES"/>
              </w:rPr>
              <w:t>Para establecer la alícuota aplicable a cada contribuyente se utilizará la tabla consignada a continuación integrada por dieciséis (16) grupos respecto de los cuales se le aplicará la alícuota correspondiente a cada uno de ellos.</w:t>
            </w:r>
          </w:p>
          <w:p w:rsidR="00770FA4" w:rsidRPr="00D77677" w:rsidRDefault="00770FA4" w:rsidP="00770FA4">
            <w:pPr>
              <w:spacing w:before="105" w:after="105"/>
              <w:ind w:right="105"/>
              <w:rPr>
                <w:rFonts w:ascii="Arial" w:hAnsi="Arial" w:cs="Arial"/>
                <w:bCs/>
                <w:color w:val="000000"/>
                <w:sz w:val="24"/>
                <w:szCs w:val="24"/>
                <w:lang w:val="es-ES"/>
              </w:rPr>
            </w:pPr>
          </w:p>
          <w:tbl>
            <w:tblPr>
              <w:tblW w:w="8639"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000"/>
            </w:tblPr>
            <w:tblGrid>
              <w:gridCol w:w="2657"/>
              <w:gridCol w:w="5982"/>
            </w:tblGrid>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b/>
                      <w:color w:val="000000"/>
                      <w:sz w:val="24"/>
                      <w:szCs w:val="24"/>
                      <w:lang w:val="es-ES"/>
                    </w:rPr>
                    <w:t>Alícuota de percepción</w:t>
                  </w:r>
                </w:p>
              </w:tc>
              <w:tc>
                <w:tcPr>
                  <w:tcW w:w="5982"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b/>
                      <w:color w:val="000000"/>
                      <w:sz w:val="24"/>
                      <w:szCs w:val="24"/>
                      <w:lang w:val="es-ES"/>
                    </w:rPr>
                    <w:t>Grupo</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0,00%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0,10%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0,20%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3</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0,30%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4</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0,50%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5</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1,00%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6</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1,50%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7</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2,50%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8</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2,60%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9</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2,70%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10</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3,00%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11</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3,20%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12</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3,50%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13</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lastRenderedPageBreak/>
                    <w:t>4,00%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14</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5,00%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15</w:t>
                  </w:r>
                </w:p>
              </w:tc>
            </w:tr>
            <w:tr w:rsidR="00770FA4" w:rsidRPr="00D77677" w:rsidTr="00770FA4">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6,00%</w:t>
                  </w:r>
                </w:p>
              </w:tc>
              <w:tc>
                <w:tcPr>
                  <w:tcW w:w="59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70FA4" w:rsidRPr="00D77677" w:rsidRDefault="00770FA4" w:rsidP="00100827">
                  <w:pPr>
                    <w:ind w:left="105" w:right="105"/>
                    <w:jc w:val="center"/>
                    <w:rPr>
                      <w:rFonts w:ascii="Arial" w:hAnsi="Arial" w:cs="Arial"/>
                      <w:bCs/>
                      <w:color w:val="000000"/>
                      <w:sz w:val="24"/>
                      <w:szCs w:val="24"/>
                      <w:lang w:val="es-ES"/>
                    </w:rPr>
                  </w:pPr>
                  <w:r w:rsidRPr="00D77677">
                    <w:rPr>
                      <w:rFonts w:ascii="Arial" w:hAnsi="Arial" w:cs="Arial"/>
                      <w:color w:val="000000"/>
                      <w:sz w:val="24"/>
                      <w:szCs w:val="24"/>
                      <w:lang w:val="es-ES"/>
                    </w:rPr>
                    <w:t>16</w:t>
                  </w:r>
                </w:p>
              </w:tc>
            </w:tr>
          </w:tbl>
          <w:p w:rsidR="00770FA4" w:rsidRPr="00D77677" w:rsidRDefault="00770FA4" w:rsidP="00DC4C08">
            <w:pPr>
              <w:spacing w:before="105" w:after="105"/>
              <w:ind w:right="105"/>
              <w:rPr>
                <w:rFonts w:ascii="Arial" w:hAnsi="Arial" w:cs="Arial"/>
                <w:bCs/>
                <w:color w:val="000000"/>
                <w:sz w:val="24"/>
                <w:szCs w:val="24"/>
                <w:lang w:val="es-ES"/>
              </w:rPr>
            </w:pPr>
          </w:p>
          <w:p w:rsidR="00770FA4" w:rsidRPr="00D77677" w:rsidRDefault="00770FA4" w:rsidP="00DC4C08">
            <w:pPr>
              <w:spacing w:before="105" w:after="105"/>
              <w:ind w:right="105"/>
              <w:jc w:val="both"/>
              <w:rPr>
                <w:rFonts w:ascii="Arial" w:hAnsi="Arial" w:cs="Arial"/>
                <w:bCs/>
                <w:color w:val="000000"/>
                <w:sz w:val="24"/>
                <w:szCs w:val="24"/>
                <w:lang w:val="es-ES"/>
              </w:rPr>
            </w:pPr>
            <w:r w:rsidRPr="00D77677">
              <w:rPr>
                <w:rFonts w:ascii="Arial" w:hAnsi="Arial" w:cs="Arial"/>
                <w:color w:val="000000"/>
                <w:sz w:val="24"/>
                <w:szCs w:val="24"/>
                <w:lang w:val="es-ES"/>
              </w:rPr>
              <w:t xml:space="preserve">Cuando el agente de percepción realice una operación </w:t>
            </w:r>
            <w:r w:rsidRPr="00770FA4">
              <w:rPr>
                <w:rFonts w:ascii="Arial" w:hAnsi="Arial" w:cs="Arial"/>
                <w:color w:val="000000"/>
                <w:sz w:val="24"/>
                <w:szCs w:val="24"/>
                <w:u w:val="single"/>
                <w:lang w:val="es-ES"/>
              </w:rPr>
              <w:t xml:space="preserve">alcanzada por el presente régimen </w:t>
            </w:r>
            <w:r w:rsidRPr="00D77677">
              <w:rPr>
                <w:rFonts w:ascii="Arial" w:hAnsi="Arial" w:cs="Arial"/>
                <w:color w:val="000000"/>
                <w:sz w:val="24"/>
                <w:szCs w:val="24"/>
                <w:lang w:val="es-ES"/>
              </w:rPr>
              <w:t>con un sujeto pasible de percepción no incluido en el Padrón de Regímenes Generales, deberá percibir el impuesto aplicando sobre el monto determinado de conformidad al artículo 10, la alícuota del seis por ciento (6 %).</w:t>
            </w:r>
          </w:p>
          <w:p w:rsidR="00770FA4" w:rsidRPr="00DC4C08" w:rsidRDefault="00770FA4" w:rsidP="00DC4C08">
            <w:pPr>
              <w:spacing w:before="80"/>
              <w:ind w:right="105"/>
              <w:jc w:val="both"/>
              <w:rPr>
                <w:rFonts w:ascii="Arial" w:hAnsi="Arial" w:cs="Arial"/>
                <w:bCs/>
                <w:color w:val="000000"/>
                <w:sz w:val="24"/>
                <w:szCs w:val="24"/>
                <w:lang w:val="es-ES"/>
              </w:rPr>
            </w:pPr>
            <w:r w:rsidRPr="00DC4C08">
              <w:rPr>
                <w:rFonts w:ascii="Arial" w:hAnsi="Arial" w:cs="Arial"/>
                <w:color w:val="000000"/>
                <w:sz w:val="24"/>
                <w:szCs w:val="24"/>
                <w:highlight w:val="yellow"/>
                <w:lang w:val="es-ES"/>
              </w:rPr>
              <w:t xml:space="preserve">Al </w:t>
            </w:r>
            <w:r w:rsidRPr="00770FA4">
              <w:rPr>
                <w:rFonts w:ascii="Arial" w:hAnsi="Arial" w:cs="Arial"/>
                <w:b/>
                <w:color w:val="000000"/>
                <w:sz w:val="24"/>
                <w:szCs w:val="24"/>
                <w:highlight w:val="yellow"/>
                <w:lang w:val="es-ES"/>
              </w:rPr>
              <w:t>solo efecto</w:t>
            </w:r>
            <w:r w:rsidRPr="00DC4C08">
              <w:rPr>
                <w:rFonts w:ascii="Arial" w:hAnsi="Arial" w:cs="Arial"/>
                <w:color w:val="000000"/>
                <w:sz w:val="24"/>
                <w:szCs w:val="24"/>
                <w:highlight w:val="yellow"/>
                <w:lang w:val="es-ES"/>
              </w:rPr>
              <w:t xml:space="preserve"> de la aplicación de la alícuota establecida en el párrafo anterior, </w:t>
            </w:r>
            <w:r w:rsidRPr="00770FA4">
              <w:rPr>
                <w:rFonts w:ascii="Arial" w:hAnsi="Arial" w:cs="Arial"/>
                <w:b/>
                <w:color w:val="000000"/>
                <w:sz w:val="24"/>
                <w:szCs w:val="24"/>
                <w:highlight w:val="yellow"/>
                <w:lang w:val="es-ES"/>
              </w:rPr>
              <w:t xml:space="preserve">se considera celebrada en el ámbito de la Ciudad Autónoma de Buenos Aires toda venta, locación y/o prestación de servicios que se </w:t>
            </w:r>
            <w:r w:rsidRPr="00770FA4">
              <w:rPr>
                <w:rFonts w:ascii="Arial" w:hAnsi="Arial" w:cs="Arial"/>
                <w:b/>
                <w:color w:val="FF0000"/>
                <w:sz w:val="28"/>
                <w:szCs w:val="24"/>
                <w:highlight w:val="yellow"/>
                <w:lang w:val="es-ES"/>
              </w:rPr>
              <w:t>materialice</w:t>
            </w:r>
            <w:r w:rsidRPr="00770FA4">
              <w:rPr>
                <w:rFonts w:ascii="Arial" w:hAnsi="Arial" w:cs="Arial"/>
                <w:b/>
                <w:color w:val="000000"/>
                <w:sz w:val="24"/>
                <w:szCs w:val="24"/>
                <w:highlight w:val="yellow"/>
                <w:lang w:val="es-ES"/>
              </w:rPr>
              <w:t xml:space="preserve"> dentro de la misma</w:t>
            </w:r>
            <w:r w:rsidRPr="00DC4C08">
              <w:rPr>
                <w:rFonts w:ascii="Arial" w:hAnsi="Arial" w:cs="Arial"/>
                <w:color w:val="000000"/>
                <w:sz w:val="24"/>
                <w:szCs w:val="24"/>
                <w:highlight w:val="yellow"/>
                <w:lang w:val="es-ES"/>
              </w:rPr>
              <w:t>.</w:t>
            </w:r>
          </w:p>
          <w:p w:rsidR="00770FA4" w:rsidRPr="00D77677" w:rsidRDefault="00770FA4" w:rsidP="00DC4C08">
            <w:pPr>
              <w:spacing w:before="80"/>
              <w:ind w:right="105"/>
              <w:jc w:val="both"/>
              <w:rPr>
                <w:rFonts w:ascii="Arial" w:hAnsi="Arial" w:cs="Arial"/>
                <w:bCs/>
                <w:color w:val="000000"/>
                <w:sz w:val="24"/>
                <w:szCs w:val="24"/>
                <w:lang w:val="es-ES"/>
              </w:rPr>
            </w:pPr>
            <w:r w:rsidRPr="00D77677">
              <w:rPr>
                <w:rFonts w:ascii="Arial" w:hAnsi="Arial" w:cs="Arial"/>
                <w:color w:val="000000"/>
                <w:sz w:val="24"/>
                <w:szCs w:val="24"/>
                <w:lang w:val="es-ES"/>
              </w:rPr>
              <w:t>En los casos en que por desperfectos técnicos no resulte factible consultar el Padrón de Regímenes Generales, se aplicará una alícuota del tres con cincuenta por ciento (3,5%).</w:t>
            </w:r>
          </w:p>
          <w:p w:rsidR="00770FA4" w:rsidRPr="00DC4C08" w:rsidRDefault="00770FA4" w:rsidP="00BA69CA">
            <w:pPr>
              <w:spacing w:before="80"/>
              <w:ind w:right="105"/>
              <w:jc w:val="both"/>
              <w:rPr>
                <w:rFonts w:ascii="Arial" w:hAnsi="Arial" w:cs="Arial"/>
                <w:bCs/>
                <w:color w:val="000000"/>
                <w:sz w:val="24"/>
                <w:szCs w:val="24"/>
                <w:lang w:val="es-ES"/>
              </w:rPr>
            </w:pPr>
            <w:r w:rsidRPr="00DC4C08">
              <w:rPr>
                <w:rFonts w:ascii="Arial" w:hAnsi="Arial" w:cs="Arial"/>
                <w:color w:val="000000"/>
                <w:sz w:val="24"/>
                <w:szCs w:val="24"/>
                <w:highlight w:val="yellow"/>
                <w:lang w:val="es-ES"/>
              </w:rPr>
              <w:t>Sin perjuicio de lo expresado, si el contribuyente percibido forma parte del Padrón de Riesgo Fiscal tendrá preeminencia la alícuota que establezca este último.</w:t>
            </w:r>
          </w:p>
        </w:tc>
      </w:tr>
    </w:tbl>
    <w:p w:rsidR="0024020F" w:rsidRPr="003F3D7A" w:rsidRDefault="0024020F" w:rsidP="003F3D7A">
      <w:pPr>
        <w:spacing w:before="80"/>
        <w:ind w:right="105"/>
        <w:jc w:val="both"/>
        <w:rPr>
          <w:rFonts w:ascii="Arial" w:hAnsi="Arial" w:cs="Arial"/>
          <w:b/>
          <w:bCs/>
          <w:color w:val="000000"/>
          <w:sz w:val="24"/>
          <w:szCs w:val="24"/>
          <w:lang w:val="es-ES"/>
        </w:rPr>
      </w:pPr>
    </w:p>
    <w:sectPr w:rsidR="0024020F" w:rsidRPr="003F3D7A" w:rsidSect="005F1BA5">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C6" w:rsidRDefault="004303C6" w:rsidP="008A635C">
      <w:pPr>
        <w:spacing w:after="0" w:line="240" w:lineRule="auto"/>
      </w:pPr>
      <w:r>
        <w:separator/>
      </w:r>
    </w:p>
  </w:endnote>
  <w:endnote w:type="continuationSeparator" w:id="0">
    <w:p w:rsidR="004303C6" w:rsidRDefault="004303C6" w:rsidP="008A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204"/>
      <w:docPartObj>
        <w:docPartGallery w:val="Page Numbers (Bottom of Page)"/>
        <w:docPartUnique/>
      </w:docPartObj>
    </w:sdtPr>
    <w:sdtContent>
      <w:p w:rsidR="00100827" w:rsidRDefault="00287C02">
        <w:pPr>
          <w:pStyle w:val="Piedepgina"/>
        </w:pPr>
        <w:fldSimple w:instr=" PAGE   \* MERGEFORMAT ">
          <w:r w:rsidR="00534912">
            <w:rPr>
              <w:noProof/>
            </w:rPr>
            <w:t>1</w:t>
          </w:r>
        </w:fldSimple>
      </w:p>
    </w:sdtContent>
  </w:sdt>
  <w:p w:rsidR="00100827" w:rsidRDefault="001008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C6" w:rsidRDefault="004303C6" w:rsidP="008A635C">
      <w:pPr>
        <w:spacing w:after="0" w:line="240" w:lineRule="auto"/>
      </w:pPr>
      <w:r>
        <w:separator/>
      </w:r>
    </w:p>
  </w:footnote>
  <w:footnote w:type="continuationSeparator" w:id="0">
    <w:p w:rsidR="004303C6" w:rsidRDefault="004303C6" w:rsidP="008A63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635C"/>
    <w:rsid w:val="00024AD7"/>
    <w:rsid w:val="00033754"/>
    <w:rsid w:val="00040122"/>
    <w:rsid w:val="00080405"/>
    <w:rsid w:val="00100827"/>
    <w:rsid w:val="00100909"/>
    <w:rsid w:val="00123109"/>
    <w:rsid w:val="001327C7"/>
    <w:rsid w:val="0014214E"/>
    <w:rsid w:val="0016713F"/>
    <w:rsid w:val="001A55AE"/>
    <w:rsid w:val="001D5E70"/>
    <w:rsid w:val="001F1DFF"/>
    <w:rsid w:val="00202B30"/>
    <w:rsid w:val="002210EB"/>
    <w:rsid w:val="002319B0"/>
    <w:rsid w:val="0024020F"/>
    <w:rsid w:val="0026302A"/>
    <w:rsid w:val="00270648"/>
    <w:rsid w:val="00287C02"/>
    <w:rsid w:val="00295DFC"/>
    <w:rsid w:val="002C5712"/>
    <w:rsid w:val="002D36A0"/>
    <w:rsid w:val="002E3CED"/>
    <w:rsid w:val="002E60A0"/>
    <w:rsid w:val="002F0C15"/>
    <w:rsid w:val="002F44A2"/>
    <w:rsid w:val="00314C07"/>
    <w:rsid w:val="00351BC3"/>
    <w:rsid w:val="00362602"/>
    <w:rsid w:val="003E74A7"/>
    <w:rsid w:val="003F3561"/>
    <w:rsid w:val="003F3D7A"/>
    <w:rsid w:val="004053E8"/>
    <w:rsid w:val="004303C6"/>
    <w:rsid w:val="00453C26"/>
    <w:rsid w:val="00454113"/>
    <w:rsid w:val="00494FFB"/>
    <w:rsid w:val="004A2AE5"/>
    <w:rsid w:val="005051A5"/>
    <w:rsid w:val="00507936"/>
    <w:rsid w:val="00512323"/>
    <w:rsid w:val="00534912"/>
    <w:rsid w:val="005A12B8"/>
    <w:rsid w:val="005B6DE7"/>
    <w:rsid w:val="005F1BA5"/>
    <w:rsid w:val="006752EF"/>
    <w:rsid w:val="00685116"/>
    <w:rsid w:val="006D2B5E"/>
    <w:rsid w:val="006D42CE"/>
    <w:rsid w:val="00741486"/>
    <w:rsid w:val="00755B6D"/>
    <w:rsid w:val="00762876"/>
    <w:rsid w:val="007655D5"/>
    <w:rsid w:val="00770FA4"/>
    <w:rsid w:val="007853DF"/>
    <w:rsid w:val="007901B3"/>
    <w:rsid w:val="0079103E"/>
    <w:rsid w:val="007913C6"/>
    <w:rsid w:val="007C6C3F"/>
    <w:rsid w:val="007D04BE"/>
    <w:rsid w:val="007E2729"/>
    <w:rsid w:val="007E5E54"/>
    <w:rsid w:val="008325F8"/>
    <w:rsid w:val="008467D5"/>
    <w:rsid w:val="008A635C"/>
    <w:rsid w:val="008B5AAD"/>
    <w:rsid w:val="008D191D"/>
    <w:rsid w:val="008F2387"/>
    <w:rsid w:val="00923D22"/>
    <w:rsid w:val="00994E5A"/>
    <w:rsid w:val="009A1400"/>
    <w:rsid w:val="009B5EAD"/>
    <w:rsid w:val="00A12A1C"/>
    <w:rsid w:val="00A27E99"/>
    <w:rsid w:val="00A7761F"/>
    <w:rsid w:val="00AB01B5"/>
    <w:rsid w:val="00AF0F79"/>
    <w:rsid w:val="00AF7292"/>
    <w:rsid w:val="00B00FB6"/>
    <w:rsid w:val="00B043D3"/>
    <w:rsid w:val="00B4699E"/>
    <w:rsid w:val="00B92179"/>
    <w:rsid w:val="00BA69CA"/>
    <w:rsid w:val="00BE28A1"/>
    <w:rsid w:val="00BE6412"/>
    <w:rsid w:val="00BF05A4"/>
    <w:rsid w:val="00C150D0"/>
    <w:rsid w:val="00C22145"/>
    <w:rsid w:val="00C371DD"/>
    <w:rsid w:val="00C93B0A"/>
    <w:rsid w:val="00CE0FDF"/>
    <w:rsid w:val="00D144E4"/>
    <w:rsid w:val="00D236B9"/>
    <w:rsid w:val="00D369AA"/>
    <w:rsid w:val="00D524D4"/>
    <w:rsid w:val="00D604A4"/>
    <w:rsid w:val="00D617BD"/>
    <w:rsid w:val="00DC4C08"/>
    <w:rsid w:val="00DE57C1"/>
    <w:rsid w:val="00DE753C"/>
    <w:rsid w:val="00DF0A5F"/>
    <w:rsid w:val="00E00C48"/>
    <w:rsid w:val="00E12DE8"/>
    <w:rsid w:val="00E63D9A"/>
    <w:rsid w:val="00E818E4"/>
    <w:rsid w:val="00EB54E2"/>
    <w:rsid w:val="00EC69C5"/>
    <w:rsid w:val="00F2053C"/>
    <w:rsid w:val="00F4727D"/>
    <w:rsid w:val="00FB19A1"/>
    <w:rsid w:val="00FE4E8E"/>
    <w:rsid w:val="00FE5032"/>
    <w:rsid w:val="00FE65BA"/>
    <w:rsid w:val="00FF58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63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635C"/>
  </w:style>
  <w:style w:type="paragraph" w:styleId="Piedepgina">
    <w:name w:val="footer"/>
    <w:basedOn w:val="Normal"/>
    <w:link w:val="PiedepginaCar"/>
    <w:uiPriority w:val="99"/>
    <w:unhideWhenUsed/>
    <w:rsid w:val="008A6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35C"/>
  </w:style>
  <w:style w:type="table" w:styleId="Tablaconcuadrcula">
    <w:name w:val="Table Grid"/>
    <w:basedOn w:val="Tablanormal"/>
    <w:uiPriority w:val="59"/>
    <w:rsid w:val="008A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8A635C"/>
    <w:rPr>
      <w:b/>
      <w:bCs/>
    </w:rPr>
  </w:style>
  <w:style w:type="character" w:customStyle="1" w:styleId="apple-converted-space">
    <w:name w:val="apple-converted-space"/>
    <w:basedOn w:val="Fuentedeprrafopredeter"/>
    <w:rsid w:val="008A635C"/>
  </w:style>
  <w:style w:type="paragraph" w:customStyle="1" w:styleId="errepar1erfrancesnovedades">
    <w:name w:val="errepar_1erfrancesnovedades"/>
    <w:basedOn w:val="Normal"/>
    <w:rsid w:val="00DF0A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rrepar2dofrancesnovedades">
    <w:name w:val="errepar_2dofrancesnovedades"/>
    <w:basedOn w:val="Normal"/>
    <w:rsid w:val="001327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3F35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angrianovedades">
    <w:name w:val="sangrianovedades"/>
    <w:basedOn w:val="Normal"/>
    <w:rsid w:val="003F356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261D-FA02-4419-BCCC-BBD82742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jorge123</dc:creator>
  <cp:lastModifiedBy>www.intercambiosvirtuales.org</cp:lastModifiedBy>
  <cp:revision>2</cp:revision>
  <dcterms:created xsi:type="dcterms:W3CDTF">2016-09-22T13:54:00Z</dcterms:created>
  <dcterms:modified xsi:type="dcterms:W3CDTF">2016-09-22T13:54:00Z</dcterms:modified>
</cp:coreProperties>
</file>