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2B" w:rsidRDefault="00D6722B"/>
    <w:p w:rsidR="001D155D" w:rsidRDefault="001D155D"/>
    <w:p w:rsidR="009E713F" w:rsidRDefault="007F3596" w:rsidP="009E713F">
      <w:pPr>
        <w:spacing w:before="300" w:after="0" w:line="240" w:lineRule="auto"/>
        <w:jc w:val="right"/>
        <w:rPr>
          <w:rFonts w:ascii="Verdana" w:eastAsiaTheme="minorEastAsia" w:hAnsi="Verdana" w:cs="Times New Roman"/>
          <w:b/>
          <w:bCs/>
          <w:sz w:val="20"/>
          <w:szCs w:val="20"/>
          <w:lang w:val="es-AR" w:eastAsia="es-ES"/>
        </w:rPr>
      </w:pPr>
      <w:r>
        <w:rPr>
          <w:rFonts w:ascii="Verdana" w:eastAsiaTheme="minorEastAsia" w:hAnsi="Verdana" w:cs="Times New Roman"/>
          <w:b/>
          <w:bCs/>
          <w:sz w:val="20"/>
          <w:szCs w:val="20"/>
          <w:lang w:val="es-AR" w:eastAsia="es-ES"/>
        </w:rPr>
        <w:t xml:space="preserve">Autor: </w:t>
      </w:r>
      <w:r w:rsidR="00353B3E">
        <w:rPr>
          <w:rFonts w:ascii="Verdana" w:eastAsiaTheme="minorEastAsia" w:hAnsi="Verdana" w:cs="Times New Roman"/>
          <w:b/>
          <w:bCs/>
          <w:sz w:val="20"/>
          <w:szCs w:val="20"/>
          <w:lang w:val="es-AR" w:eastAsia="es-ES"/>
        </w:rPr>
        <w:t xml:space="preserve">JOSÉ ANTONIO </w:t>
      </w:r>
      <w:r w:rsidR="003472DC" w:rsidRPr="003472DC">
        <w:rPr>
          <w:rFonts w:ascii="Verdana" w:eastAsiaTheme="minorEastAsia" w:hAnsi="Verdana" w:cs="Times New Roman"/>
          <w:b/>
          <w:bCs/>
          <w:sz w:val="20"/>
          <w:szCs w:val="20"/>
          <w:lang w:val="es-AR" w:eastAsia="es-ES"/>
        </w:rPr>
        <w:t>ALANIZ</w:t>
      </w:r>
    </w:p>
    <w:p w:rsidR="00353B3E" w:rsidRPr="00353B3E" w:rsidRDefault="00353B3E" w:rsidP="009E713F">
      <w:pPr>
        <w:spacing w:before="300" w:after="0" w:line="240" w:lineRule="auto"/>
        <w:jc w:val="right"/>
        <w:rPr>
          <w:rFonts w:ascii="Verdana" w:eastAsiaTheme="minorEastAsia" w:hAnsi="Verdana" w:cs="Times New Roman"/>
          <w:bCs/>
          <w:i/>
          <w:sz w:val="20"/>
          <w:szCs w:val="20"/>
          <w:lang w:val="es-AR" w:eastAsia="es-ES"/>
        </w:rPr>
      </w:pPr>
    </w:p>
    <w:p w:rsidR="003472DC" w:rsidRPr="003472DC" w:rsidRDefault="003472DC" w:rsidP="003472DC">
      <w:pPr>
        <w:spacing w:before="360" w:after="120" w:line="240" w:lineRule="auto"/>
        <w:jc w:val="center"/>
        <w:rPr>
          <w:rFonts w:ascii="Verdana" w:eastAsiaTheme="minorEastAsia" w:hAnsi="Verdana" w:cs="Times New Roman"/>
          <w:b/>
          <w:bCs/>
          <w:sz w:val="24"/>
          <w:szCs w:val="24"/>
          <w:lang w:val="es-AR" w:eastAsia="es-ES"/>
        </w:rPr>
      </w:pPr>
      <w:r w:rsidRPr="003472DC">
        <w:rPr>
          <w:rFonts w:ascii="Verdana" w:eastAsiaTheme="minorEastAsia" w:hAnsi="Verdana" w:cs="Times New Roman"/>
          <w:b/>
          <w:bCs/>
          <w:sz w:val="24"/>
          <w:szCs w:val="24"/>
          <w:lang w:val="es-AR" w:eastAsia="es-ES"/>
        </w:rPr>
        <w:t>BUENOS AIRES. INGRESOS BRUTOS. LOS REGÍMENES ESPECIALES</w:t>
      </w:r>
      <w:r w:rsidRPr="003472DC">
        <w:rPr>
          <w:rFonts w:ascii="Verdana" w:eastAsiaTheme="minorEastAsia" w:hAnsi="Verdana" w:cs="Times New Roman"/>
          <w:b/>
          <w:bCs/>
          <w:sz w:val="24"/>
          <w:szCs w:val="24"/>
          <w:lang w:val="es-AR" w:eastAsia="es-ES"/>
        </w:rPr>
        <w:br/>
        <w:t>Y SU CONDICIÓN -TAMBIÉN- DE TERRITORIALIDAD</w:t>
      </w:r>
    </w:p>
    <w:p w:rsidR="003472DC" w:rsidRPr="003472DC" w:rsidRDefault="003472DC" w:rsidP="003472DC">
      <w:pPr>
        <w:pBdr>
          <w:bottom w:val="single" w:sz="12" w:space="0" w:color="000000"/>
        </w:pBdr>
        <w:spacing w:before="400" w:line="240" w:lineRule="auto"/>
        <w:jc w:val="both"/>
        <w:rPr>
          <w:rFonts w:ascii="Verdana" w:eastAsiaTheme="minorEastAsia" w:hAnsi="Verdana" w:cs="Times New Roman"/>
          <w:b/>
          <w:bCs/>
          <w:lang w:val="es-AR" w:eastAsia="es-ES"/>
        </w:rPr>
      </w:pPr>
      <w:r w:rsidRPr="003472DC">
        <w:rPr>
          <w:rFonts w:ascii="Verdana" w:eastAsiaTheme="minorEastAsia" w:hAnsi="Verdana" w:cs="Times New Roman"/>
          <w:b/>
          <w:bCs/>
          <w:lang w:val="es-AR" w:eastAsia="es-ES"/>
        </w:rPr>
        <w:t>1. CONSIDERACIONES INICIALES</w:t>
      </w:r>
    </w:p>
    <w:p w:rsidR="003472DC" w:rsidRPr="003472DC" w:rsidRDefault="003472DC" w:rsidP="003472DC">
      <w:pPr>
        <w:spacing w:before="80" w:after="0" w:line="240" w:lineRule="auto"/>
        <w:ind w:firstLine="360"/>
        <w:jc w:val="both"/>
        <w:rPr>
          <w:rFonts w:ascii="Verdana" w:eastAsiaTheme="minorEastAsia" w:hAnsi="Verdana" w:cs="Times New Roman"/>
          <w:sz w:val="16"/>
          <w:szCs w:val="16"/>
          <w:lang w:val="es-AR" w:eastAsia="es-ES"/>
        </w:rPr>
      </w:pPr>
      <w:r w:rsidRPr="003472DC">
        <w:rPr>
          <w:rFonts w:ascii="Verdana" w:eastAsiaTheme="minorEastAsia" w:hAnsi="Verdana" w:cs="Times New Roman"/>
          <w:sz w:val="16"/>
          <w:szCs w:val="16"/>
          <w:lang w:val="es-AR" w:eastAsia="es-ES"/>
        </w:rPr>
        <w:t>Oportunamente, y haciendo referencia a los regímenes generales de recaudación, dimos cuenta sobre la condición de la territorialidad para resultar agente de recaudación por la Provincia de Buenos Aires</w:t>
      </w:r>
      <w:hyperlink r:id="rId6" w:anchor="PIBA_ALANIZ_Q1" w:history="1">
        <w:r w:rsidRPr="003472DC">
          <w:rPr>
            <w:rFonts w:ascii="Verdana" w:eastAsiaTheme="minorEastAsia" w:hAnsi="Verdana" w:cs="Times New Roman"/>
            <w:color w:val="0000FF" w:themeColor="hyperlink"/>
            <w:sz w:val="14"/>
            <w:u w:val="single"/>
            <w:vertAlign w:val="superscript"/>
            <w:lang w:val="es-AR" w:eastAsia="es-ES"/>
          </w:rPr>
          <w:t>(1)</w:t>
        </w:r>
      </w:hyperlink>
      <w:r w:rsidRPr="003472DC">
        <w:rPr>
          <w:rFonts w:ascii="Verdana" w:eastAsiaTheme="minorEastAsia" w:hAnsi="Verdana" w:cs="Times New Roman"/>
          <w:sz w:val="16"/>
          <w:szCs w:val="16"/>
          <w:lang w:val="es-AR" w:eastAsia="es-ES"/>
        </w:rPr>
        <w:t>. En esta oportunidad, nos referiremos a los regímenes especiales de recaudación (retención y percepción) del impuesto sobre los ingresos brutos.</w:t>
      </w:r>
    </w:p>
    <w:p w:rsidR="003472DC" w:rsidRPr="003472DC" w:rsidRDefault="003472DC" w:rsidP="003472DC">
      <w:pPr>
        <w:spacing w:after="0" w:line="240" w:lineRule="auto"/>
        <w:rPr>
          <w:rFonts w:ascii="Times New Roman" w:eastAsiaTheme="minorEastAsia" w:hAnsi="Times New Roman" w:cs="Times New Roman"/>
          <w:sz w:val="24"/>
          <w:szCs w:val="24"/>
          <w:lang w:val="es-AR" w:eastAsia="es-ES"/>
        </w:rPr>
      </w:pPr>
      <w:r w:rsidRPr="003472DC">
        <w:rPr>
          <w:rFonts w:ascii="Times New Roman" w:eastAsiaTheme="minorEastAsia" w:hAnsi="Times New Roman" w:cs="Times New Roman"/>
          <w:sz w:val="24"/>
          <w:szCs w:val="24"/>
          <w:lang w:val="es-AR" w:eastAsia="es-ES"/>
        </w:rPr>
        <w:t> </w:t>
      </w:r>
    </w:p>
    <w:tbl>
      <w:tblPr>
        <w:tblW w:w="3518" w:type="pct"/>
        <w:jc w:val="center"/>
        <w:tblBorders>
          <w:top w:val="single" w:sz="4" w:space="0" w:color="auto"/>
          <w:left w:val="single" w:sz="4" w:space="0" w:color="auto"/>
          <w:bottom w:val="single" w:sz="4" w:space="0" w:color="auto"/>
          <w:right w:val="single" w:sz="4" w:space="0" w:color="auto"/>
        </w:tblBorders>
        <w:tblCellMar>
          <w:top w:w="62" w:type="dxa"/>
          <w:left w:w="62" w:type="dxa"/>
          <w:bottom w:w="62" w:type="dxa"/>
          <w:right w:w="62" w:type="dxa"/>
        </w:tblCellMar>
        <w:tblLook w:val="04A0"/>
      </w:tblPr>
      <w:tblGrid>
        <w:gridCol w:w="6071"/>
      </w:tblGrid>
      <w:tr w:rsidR="003472DC" w:rsidRPr="003472DC" w:rsidTr="003472DC">
        <w:trPr>
          <w:jc w:val="center"/>
        </w:trPr>
        <w:tc>
          <w:tcPr>
            <w:tcW w:w="6946" w:type="dxa"/>
            <w:tcBorders>
              <w:top w:val="single" w:sz="4" w:space="0" w:color="auto"/>
              <w:left w:val="single" w:sz="4" w:space="0" w:color="auto"/>
              <w:bottom w:val="single" w:sz="4" w:space="0" w:color="auto"/>
              <w:right w:val="single" w:sz="4" w:space="0" w:color="auto"/>
            </w:tcBorders>
            <w:hideMark/>
          </w:tcPr>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Tener en cuenta:</w:t>
            </w:r>
          </w:p>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En campañas llamadas como, por ejemplo torniquete fiscal, la Provincia de Buenos Aires periódicamente demanda la inscripción como agentes de retención y percepción del impuesto sobre los ingresos brutos, a todos los contribuyentes del Convenio Multilateral, que por realizar determinadas actividades, no se encuentren registrados como agentes de recaudación, cayendo por ello en la aparente omisión de la obligación tributaria.</w:t>
            </w:r>
          </w:p>
        </w:tc>
      </w:tr>
    </w:tbl>
    <w:p w:rsidR="003472DC" w:rsidRPr="003472DC" w:rsidRDefault="003472DC" w:rsidP="003472DC">
      <w:pPr>
        <w:spacing w:after="0" w:line="240" w:lineRule="auto"/>
        <w:rPr>
          <w:rFonts w:ascii="Times New Roman" w:eastAsiaTheme="minorEastAsia" w:hAnsi="Times New Roman" w:cs="Times New Roman"/>
          <w:sz w:val="24"/>
          <w:szCs w:val="24"/>
          <w:lang w:val="es-AR" w:eastAsia="es-ES"/>
        </w:rPr>
      </w:pPr>
      <w:r w:rsidRPr="003472DC">
        <w:rPr>
          <w:rFonts w:ascii="Times New Roman" w:eastAsiaTheme="minorEastAsia" w:hAnsi="Times New Roman" w:cs="Times New Roman"/>
          <w:sz w:val="24"/>
          <w:szCs w:val="24"/>
          <w:lang w:val="es-AR" w:eastAsia="es-ES"/>
        </w:rPr>
        <w:t> </w:t>
      </w:r>
    </w:p>
    <w:p w:rsidR="003472DC" w:rsidRDefault="003472DC" w:rsidP="003472DC">
      <w:pPr>
        <w:spacing w:before="80" w:after="0" w:line="240" w:lineRule="auto"/>
        <w:ind w:firstLine="360"/>
        <w:jc w:val="both"/>
        <w:rPr>
          <w:rFonts w:ascii="Verdana" w:eastAsiaTheme="minorEastAsia" w:hAnsi="Verdana" w:cs="Times New Roman"/>
          <w:sz w:val="16"/>
          <w:szCs w:val="16"/>
          <w:lang w:val="es-AR" w:eastAsia="es-ES"/>
        </w:rPr>
      </w:pPr>
      <w:r w:rsidRPr="003472DC">
        <w:rPr>
          <w:rFonts w:ascii="Verdana" w:eastAsiaTheme="minorEastAsia" w:hAnsi="Verdana" w:cs="Times New Roman"/>
          <w:sz w:val="16"/>
          <w:szCs w:val="16"/>
          <w:lang w:val="es-AR" w:eastAsia="es-ES"/>
        </w:rPr>
        <w:t xml:space="preserve">Con ello advertimos que al momento de generar dichas intimaciones, ARBA no tiene en cuenta el cumplimiento de la territorialidad del sujeto demandado, y en muchos casos, dichas demandas no </w:t>
      </w:r>
      <w:proofErr w:type="gramStart"/>
      <w:r w:rsidRPr="003472DC">
        <w:rPr>
          <w:rFonts w:ascii="Verdana" w:eastAsiaTheme="minorEastAsia" w:hAnsi="Verdana" w:cs="Times New Roman"/>
          <w:sz w:val="16"/>
          <w:szCs w:val="16"/>
          <w:lang w:val="es-AR" w:eastAsia="es-ES"/>
        </w:rPr>
        <w:t>resultan</w:t>
      </w:r>
      <w:proofErr w:type="gramEnd"/>
      <w:r w:rsidRPr="003472DC">
        <w:rPr>
          <w:rFonts w:ascii="Verdana" w:eastAsiaTheme="minorEastAsia" w:hAnsi="Verdana" w:cs="Times New Roman"/>
          <w:sz w:val="16"/>
          <w:szCs w:val="16"/>
          <w:lang w:val="es-AR" w:eastAsia="es-ES"/>
        </w:rPr>
        <w:t xml:space="preserve"> procedentes.</w:t>
      </w:r>
    </w:p>
    <w:p w:rsidR="00C86CE3" w:rsidRPr="003472DC" w:rsidRDefault="00C86CE3" w:rsidP="00C86CE3">
      <w:pPr>
        <w:rPr>
          <w:rFonts w:ascii="Verdana" w:eastAsiaTheme="minorEastAsia" w:hAnsi="Verdana" w:cs="Times New Roman"/>
          <w:sz w:val="16"/>
          <w:szCs w:val="16"/>
          <w:lang w:val="es-AR" w:eastAsia="es-ES"/>
        </w:rPr>
      </w:pPr>
    </w:p>
    <w:p w:rsidR="003472DC" w:rsidRPr="003472DC" w:rsidRDefault="003472DC" w:rsidP="003472DC">
      <w:pPr>
        <w:pBdr>
          <w:bottom w:val="single" w:sz="12" w:space="0" w:color="000000"/>
        </w:pBdr>
        <w:spacing w:before="400" w:line="240" w:lineRule="auto"/>
        <w:jc w:val="both"/>
        <w:rPr>
          <w:rFonts w:ascii="Verdana" w:eastAsiaTheme="minorEastAsia" w:hAnsi="Verdana" w:cs="Times New Roman"/>
          <w:b/>
          <w:bCs/>
          <w:lang w:val="es-AR" w:eastAsia="es-ES"/>
        </w:rPr>
      </w:pPr>
      <w:r w:rsidRPr="003472DC">
        <w:rPr>
          <w:rFonts w:ascii="Verdana" w:eastAsiaTheme="minorEastAsia" w:hAnsi="Verdana" w:cs="Times New Roman"/>
          <w:b/>
          <w:bCs/>
          <w:lang w:val="es-AR" w:eastAsia="es-ES"/>
        </w:rPr>
        <w:t>2. LA CONDICIÓN DE TERRITORIALIDAD</w:t>
      </w:r>
    </w:p>
    <w:p w:rsidR="003472DC" w:rsidRPr="003472DC" w:rsidRDefault="003472DC" w:rsidP="003472DC">
      <w:pPr>
        <w:spacing w:before="80" w:after="0" w:line="240" w:lineRule="auto"/>
        <w:ind w:firstLine="360"/>
        <w:jc w:val="both"/>
        <w:rPr>
          <w:rFonts w:ascii="Verdana" w:eastAsiaTheme="minorEastAsia" w:hAnsi="Verdana" w:cs="Times New Roman"/>
          <w:sz w:val="16"/>
          <w:szCs w:val="16"/>
          <w:lang w:val="es-AR" w:eastAsia="es-ES"/>
        </w:rPr>
      </w:pPr>
      <w:r w:rsidRPr="003472DC">
        <w:rPr>
          <w:rFonts w:ascii="Verdana" w:eastAsiaTheme="minorEastAsia" w:hAnsi="Verdana" w:cs="Times New Roman"/>
          <w:sz w:val="16"/>
          <w:szCs w:val="16"/>
          <w:lang w:val="es-AR" w:eastAsia="es-ES"/>
        </w:rPr>
        <w:t xml:space="preserve">Texto actual de la </w:t>
      </w:r>
      <w:hyperlink r:id="rId7" w:history="1">
        <w:r w:rsidRPr="003472DC">
          <w:rPr>
            <w:rFonts w:ascii="Verdana" w:eastAsiaTheme="minorEastAsia" w:hAnsi="Verdana" w:cs="Times New Roman"/>
            <w:color w:val="0000FF" w:themeColor="hyperlink"/>
            <w:sz w:val="16"/>
            <w:szCs w:val="16"/>
            <w:u w:val="single"/>
            <w:lang w:val="es-AR" w:eastAsia="es-ES"/>
          </w:rPr>
          <w:t>disposición normativa B 1/2004</w:t>
        </w:r>
      </w:hyperlink>
      <w:r w:rsidRPr="003472DC">
        <w:rPr>
          <w:rFonts w:ascii="Verdana" w:eastAsiaTheme="minorEastAsia" w:hAnsi="Verdana" w:cs="Times New Roman"/>
          <w:sz w:val="16"/>
          <w:szCs w:val="16"/>
          <w:lang w:val="es-AR" w:eastAsia="es-ES"/>
        </w:rPr>
        <w:t xml:space="preserve"> de la Dirección Provincial de Rentas, donde se define la condición de la territorialidad:</w:t>
      </w:r>
    </w:p>
    <w:p w:rsidR="003472DC" w:rsidRPr="003472DC" w:rsidRDefault="003472DC" w:rsidP="003472DC">
      <w:pPr>
        <w:spacing w:after="0" w:line="240" w:lineRule="auto"/>
        <w:rPr>
          <w:rFonts w:ascii="Times New Roman" w:eastAsiaTheme="minorEastAsia" w:hAnsi="Times New Roman" w:cs="Times New Roman"/>
          <w:sz w:val="24"/>
          <w:szCs w:val="24"/>
          <w:lang w:val="es-AR" w:eastAsia="es-ES"/>
        </w:rPr>
      </w:pPr>
      <w:r w:rsidRPr="003472DC">
        <w:rPr>
          <w:rFonts w:ascii="Times New Roman" w:eastAsiaTheme="minorEastAsia" w:hAnsi="Times New Roman" w:cs="Times New Roman"/>
          <w:sz w:val="24"/>
          <w:szCs w:val="24"/>
          <w:lang w:val="es-AR" w:eastAsia="es-ES"/>
        </w:rPr>
        <w:t> </w:t>
      </w:r>
    </w:p>
    <w:tbl>
      <w:tblPr>
        <w:tblW w:w="4937" w:type="pct"/>
        <w:jc w:val="center"/>
        <w:tblInd w:w="-541" w:type="dxa"/>
        <w:tblBorders>
          <w:top w:val="single" w:sz="4" w:space="0" w:color="auto"/>
          <w:left w:val="single" w:sz="4" w:space="0" w:color="auto"/>
          <w:bottom w:val="single" w:sz="4" w:space="0" w:color="auto"/>
          <w:right w:val="single" w:sz="4" w:space="0" w:color="auto"/>
        </w:tblBorders>
        <w:tblCellMar>
          <w:top w:w="62" w:type="dxa"/>
          <w:left w:w="62" w:type="dxa"/>
          <w:bottom w:w="62" w:type="dxa"/>
          <w:right w:w="62" w:type="dxa"/>
        </w:tblCellMar>
        <w:tblLook w:val="04A0"/>
      </w:tblPr>
      <w:tblGrid>
        <w:gridCol w:w="8519"/>
      </w:tblGrid>
      <w:tr w:rsidR="003472DC" w:rsidRPr="003472DC" w:rsidTr="00C86CE3">
        <w:trPr>
          <w:trHeight w:val="2206"/>
          <w:jc w:val="center"/>
        </w:trPr>
        <w:tc>
          <w:tcPr>
            <w:tcW w:w="8519" w:type="dxa"/>
            <w:tcBorders>
              <w:top w:val="single" w:sz="4" w:space="0" w:color="auto"/>
              <w:left w:val="single" w:sz="4" w:space="0" w:color="auto"/>
              <w:bottom w:val="single" w:sz="4" w:space="0" w:color="auto"/>
              <w:right w:val="single" w:sz="4" w:space="0" w:color="auto"/>
            </w:tcBorders>
            <w:vAlign w:val="center"/>
          </w:tcPr>
          <w:p w:rsidR="003472DC" w:rsidRPr="003472DC" w:rsidRDefault="003472DC" w:rsidP="003472DC">
            <w:pPr>
              <w:spacing w:after="0" w:line="240" w:lineRule="auto"/>
              <w:jc w:val="center"/>
              <w:rPr>
                <w:rFonts w:ascii="Verdana" w:eastAsiaTheme="minorEastAsia" w:hAnsi="Verdana" w:cs="Times New Roman"/>
                <w:b/>
                <w:bCs/>
                <w:sz w:val="15"/>
                <w:szCs w:val="15"/>
                <w:lang w:eastAsia="es-ES"/>
              </w:rPr>
            </w:pPr>
            <w:r w:rsidRPr="003472DC">
              <w:rPr>
                <w:rFonts w:ascii="Verdana" w:eastAsiaTheme="minorEastAsia" w:hAnsi="Verdana" w:cs="Times New Roman"/>
                <w:b/>
                <w:bCs/>
                <w:sz w:val="15"/>
                <w:szCs w:val="15"/>
                <w:lang w:eastAsia="es-ES"/>
              </w:rPr>
              <w:t>TÍTULO V</w:t>
            </w:r>
            <w:r w:rsidRPr="003472DC">
              <w:rPr>
                <w:rFonts w:ascii="Verdana" w:eastAsiaTheme="minorEastAsia" w:hAnsi="Verdana" w:cs="Times New Roman"/>
                <w:b/>
                <w:bCs/>
                <w:sz w:val="15"/>
                <w:szCs w:val="15"/>
                <w:lang w:eastAsia="es-ES"/>
              </w:rPr>
              <w:br/>
              <w:t>AGENTES DE RECAUDACIÓN</w:t>
            </w:r>
          </w:p>
          <w:p w:rsidR="003472DC" w:rsidRPr="003472DC" w:rsidRDefault="003472DC" w:rsidP="003472DC">
            <w:pPr>
              <w:spacing w:after="0" w:line="240" w:lineRule="auto"/>
              <w:jc w:val="center"/>
              <w:rPr>
                <w:rFonts w:ascii="Verdana" w:eastAsiaTheme="minorEastAsia" w:hAnsi="Verdana" w:cs="Times New Roman"/>
                <w:b/>
                <w:bCs/>
                <w:sz w:val="15"/>
                <w:szCs w:val="15"/>
                <w:lang w:eastAsia="es-ES"/>
              </w:rPr>
            </w:pPr>
          </w:p>
          <w:p w:rsidR="003472DC" w:rsidRPr="003472DC" w:rsidRDefault="003472DC" w:rsidP="003472DC">
            <w:pPr>
              <w:spacing w:after="0" w:line="240" w:lineRule="auto"/>
              <w:jc w:val="center"/>
              <w:rPr>
                <w:rFonts w:ascii="Verdana" w:eastAsiaTheme="minorEastAsia" w:hAnsi="Verdana" w:cs="Times New Roman"/>
                <w:b/>
                <w:bCs/>
                <w:i/>
                <w:iCs/>
                <w:sz w:val="15"/>
                <w:szCs w:val="15"/>
                <w:lang w:eastAsia="es-ES"/>
              </w:rPr>
            </w:pPr>
            <w:r w:rsidRPr="003472DC">
              <w:rPr>
                <w:rFonts w:ascii="Verdana" w:eastAsiaTheme="minorEastAsia" w:hAnsi="Verdana" w:cs="Times New Roman"/>
                <w:b/>
                <w:bCs/>
                <w:i/>
                <w:iCs/>
                <w:sz w:val="15"/>
                <w:szCs w:val="15"/>
                <w:lang w:eastAsia="es-ES"/>
              </w:rPr>
              <w:t>CAPÍTULO IV</w:t>
            </w:r>
            <w:r w:rsidRPr="003472DC">
              <w:rPr>
                <w:rFonts w:ascii="Verdana" w:eastAsiaTheme="minorEastAsia" w:hAnsi="Verdana" w:cs="Times New Roman"/>
                <w:b/>
                <w:bCs/>
                <w:i/>
                <w:iCs/>
                <w:sz w:val="15"/>
                <w:szCs w:val="15"/>
                <w:lang w:eastAsia="es-ES"/>
              </w:rPr>
              <w:br/>
              <w:t>IMPUESTO SOBRE LOS INGRESOS BRUTOS</w:t>
            </w:r>
            <w:r w:rsidRPr="003472DC">
              <w:rPr>
                <w:rFonts w:ascii="Verdana" w:eastAsiaTheme="minorEastAsia" w:hAnsi="Verdana" w:cs="Times New Roman"/>
                <w:b/>
                <w:bCs/>
                <w:i/>
                <w:iCs/>
                <w:sz w:val="15"/>
                <w:szCs w:val="15"/>
                <w:lang w:eastAsia="es-ES"/>
              </w:rPr>
              <w:br/>
            </w:r>
            <w:r w:rsidRPr="003472DC">
              <w:rPr>
                <w:rFonts w:ascii="Verdana" w:eastAsiaTheme="minorEastAsia" w:hAnsi="Verdana" w:cs="Times New Roman"/>
                <w:b/>
                <w:bCs/>
                <w:i/>
                <w:iCs/>
                <w:sz w:val="15"/>
                <w:szCs w:val="15"/>
                <w:lang w:eastAsia="es-ES"/>
              </w:rPr>
              <w:br/>
            </w:r>
          </w:p>
          <w:p w:rsidR="003472DC" w:rsidRPr="003472DC" w:rsidRDefault="003472DC" w:rsidP="003472DC">
            <w:pPr>
              <w:spacing w:after="0" w:line="240" w:lineRule="auto"/>
              <w:jc w:val="center"/>
              <w:rPr>
                <w:rFonts w:ascii="Verdana" w:eastAsiaTheme="minorEastAsia" w:hAnsi="Verdana" w:cs="Times New Roman"/>
                <w:b/>
                <w:bCs/>
                <w:i/>
                <w:iCs/>
                <w:sz w:val="15"/>
                <w:szCs w:val="15"/>
                <w:lang w:eastAsia="es-ES"/>
              </w:rPr>
            </w:pPr>
            <w:r w:rsidRPr="003472DC">
              <w:rPr>
                <w:rFonts w:ascii="Verdana" w:eastAsiaTheme="minorEastAsia" w:hAnsi="Verdana" w:cs="Times New Roman"/>
                <w:b/>
                <w:bCs/>
                <w:i/>
                <w:iCs/>
                <w:sz w:val="15"/>
                <w:szCs w:val="15"/>
                <w:lang w:eastAsia="es-ES"/>
              </w:rPr>
              <w:t>Territorialidad</w:t>
            </w:r>
          </w:p>
          <w:p w:rsidR="003472DC" w:rsidRPr="003472DC" w:rsidRDefault="003472DC" w:rsidP="003472DC">
            <w:pPr>
              <w:spacing w:after="0" w:line="240" w:lineRule="auto"/>
              <w:jc w:val="center"/>
              <w:rPr>
                <w:rFonts w:ascii="Verdana" w:eastAsiaTheme="minorEastAsia" w:hAnsi="Verdana" w:cs="Times New Roman"/>
                <w:b/>
                <w:bCs/>
                <w:i/>
                <w:iCs/>
                <w:sz w:val="15"/>
                <w:szCs w:val="15"/>
                <w:lang w:eastAsia="es-ES"/>
              </w:rPr>
            </w:pPr>
          </w:p>
          <w:p w:rsidR="003472DC" w:rsidRPr="00C86CE3" w:rsidRDefault="003472DC" w:rsidP="00C86CE3">
            <w:pPr>
              <w:spacing w:after="0" w:line="240" w:lineRule="auto"/>
              <w:jc w:val="both"/>
              <w:rPr>
                <w:rFonts w:ascii="Verdana" w:eastAsiaTheme="minorEastAsia" w:hAnsi="Verdana" w:cs="Times New Roman"/>
                <w:sz w:val="32"/>
                <w:szCs w:val="32"/>
                <w:lang w:eastAsia="es-ES"/>
              </w:rPr>
            </w:pPr>
            <w:r w:rsidRPr="00C86CE3">
              <w:rPr>
                <w:rFonts w:ascii="Verdana" w:eastAsiaTheme="minorEastAsia" w:hAnsi="Verdana" w:cs="Times New Roman"/>
                <w:b/>
                <w:bCs/>
                <w:sz w:val="32"/>
                <w:szCs w:val="32"/>
                <w:lang w:eastAsia="es-ES"/>
              </w:rPr>
              <w:t>Art. 318</w:t>
            </w:r>
            <w:r w:rsidRPr="00C86CE3">
              <w:rPr>
                <w:rFonts w:ascii="Verdana" w:eastAsiaTheme="minorEastAsia" w:hAnsi="Verdana" w:cs="Times New Roman"/>
                <w:sz w:val="32"/>
                <w:szCs w:val="32"/>
                <w:lang w:eastAsia="es-ES"/>
              </w:rPr>
              <w:t xml:space="preserve"> - Quedan comprendidos en las normas del presente capítulo, cualquiera fuese su domicilio principal, real o legal, quienes posean en esta provincia sucursales, agencias, representaciones, oficinas, locales y todo otro tipo de establecimiento, explotación, edificio, obra, depósito o similar y quienes se valgan para el ejercicio de su actividad </w:t>
            </w:r>
            <w:r w:rsidRPr="00C86CE3">
              <w:rPr>
                <w:rFonts w:ascii="Verdana" w:eastAsiaTheme="minorEastAsia" w:hAnsi="Verdana" w:cs="Times New Roman"/>
                <w:sz w:val="32"/>
                <w:szCs w:val="32"/>
                <w:lang w:eastAsia="es-ES"/>
              </w:rPr>
              <w:lastRenderedPageBreak/>
              <w:t>en territorio provincial de los servicios de comisionistas, corredores, consignatarios o martilleros. Tales sujetos deberán actuar como agentes de recaudación respecto del impuesto sobre los ingresos brutos en la medida en que los ingresos fueren atribuibles a la jurisdicción provincial y de acuerdo con lo normado en las secciones que siguen.</w:t>
            </w:r>
          </w:p>
        </w:tc>
      </w:tr>
    </w:tbl>
    <w:p w:rsidR="003472DC" w:rsidRPr="003472DC" w:rsidRDefault="003472DC" w:rsidP="003472DC">
      <w:pPr>
        <w:spacing w:after="0" w:line="240" w:lineRule="auto"/>
        <w:rPr>
          <w:rFonts w:ascii="Times New Roman" w:eastAsiaTheme="minorEastAsia" w:hAnsi="Times New Roman" w:cs="Times New Roman"/>
          <w:sz w:val="24"/>
          <w:szCs w:val="24"/>
          <w:lang w:val="es-AR" w:eastAsia="es-ES"/>
        </w:rPr>
      </w:pPr>
      <w:r w:rsidRPr="003472DC">
        <w:rPr>
          <w:rFonts w:ascii="Times New Roman" w:eastAsiaTheme="minorEastAsia" w:hAnsi="Times New Roman" w:cs="Times New Roman"/>
          <w:sz w:val="24"/>
          <w:szCs w:val="24"/>
          <w:lang w:val="es-AR" w:eastAsia="es-ES"/>
        </w:rPr>
        <w:lastRenderedPageBreak/>
        <w:t> </w:t>
      </w:r>
    </w:p>
    <w:p w:rsidR="003472DC" w:rsidRPr="009E713F" w:rsidRDefault="003472DC" w:rsidP="009E713F">
      <w:pPr>
        <w:spacing w:after="0" w:line="240" w:lineRule="auto"/>
        <w:rPr>
          <w:rFonts w:ascii="Verdana" w:eastAsiaTheme="minorEastAsia" w:hAnsi="Verdana" w:cs="Times New Roman"/>
          <w:b/>
          <w:bCs/>
          <w:sz w:val="16"/>
          <w:szCs w:val="16"/>
          <w:lang w:eastAsia="es-ES"/>
        </w:rPr>
      </w:pPr>
      <w:r w:rsidRPr="003472DC">
        <w:rPr>
          <w:rFonts w:ascii="Verdana" w:eastAsiaTheme="minorEastAsia" w:hAnsi="Verdana" w:cs="Times New Roman"/>
          <w:b/>
          <w:bCs/>
          <w:sz w:val="16"/>
          <w:szCs w:val="16"/>
          <w:lang w:val="es-AR" w:eastAsia="es-ES"/>
        </w:rPr>
        <w:t>2.1. La opinión de ARBA</w:t>
      </w:r>
    </w:p>
    <w:p w:rsidR="003472DC" w:rsidRPr="003472DC" w:rsidRDefault="003472DC" w:rsidP="003472DC">
      <w:pPr>
        <w:spacing w:before="80" w:after="0" w:line="240" w:lineRule="auto"/>
        <w:ind w:firstLine="360"/>
        <w:jc w:val="both"/>
        <w:rPr>
          <w:rFonts w:ascii="Verdana" w:eastAsiaTheme="minorEastAsia" w:hAnsi="Verdana" w:cs="Times New Roman"/>
          <w:sz w:val="16"/>
          <w:szCs w:val="16"/>
          <w:lang w:eastAsia="es-ES"/>
        </w:rPr>
      </w:pPr>
      <w:r w:rsidRPr="003472DC">
        <w:rPr>
          <w:rFonts w:ascii="Verdana" w:eastAsiaTheme="minorEastAsia" w:hAnsi="Verdana" w:cs="Times New Roman"/>
          <w:sz w:val="16"/>
          <w:szCs w:val="16"/>
          <w:lang w:val="es-AR" w:eastAsia="es-ES"/>
        </w:rPr>
        <w:t>En un reciente informe técnico, ARBA opina que la condición de territorialidad -al igual que para resultar agentes por los regímenes generales- resulta de aplicación también para los siguientes regímenes especiales de recaudación:</w:t>
      </w:r>
    </w:p>
    <w:p w:rsidR="003472DC" w:rsidRPr="003472DC" w:rsidRDefault="003472DC" w:rsidP="003472DC">
      <w:pPr>
        <w:spacing w:after="0" w:line="240" w:lineRule="auto"/>
        <w:rPr>
          <w:rFonts w:ascii="Times New Roman" w:eastAsiaTheme="minorEastAsia" w:hAnsi="Times New Roman" w:cs="Times New Roman"/>
          <w:sz w:val="24"/>
          <w:szCs w:val="24"/>
          <w:lang w:val="es-AR" w:eastAsia="es-ES"/>
        </w:rPr>
      </w:pPr>
      <w:r w:rsidRPr="003472DC">
        <w:rPr>
          <w:rFonts w:ascii="Times New Roman" w:eastAsiaTheme="minorEastAsia" w:hAnsi="Times New Roman" w:cs="Times New Roman"/>
          <w:sz w:val="24"/>
          <w:szCs w:val="24"/>
          <w:lang w:val="es-AR" w:eastAsia="es-ES"/>
        </w:rPr>
        <w:t> </w:t>
      </w:r>
    </w:p>
    <w:tbl>
      <w:tblPr>
        <w:tblW w:w="8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187"/>
        <w:gridCol w:w="4294"/>
      </w:tblGrid>
      <w:tr w:rsidR="003472DC" w:rsidRPr="003472DC" w:rsidTr="003472DC">
        <w:trPr>
          <w:jc w:val="center"/>
        </w:trPr>
        <w:tc>
          <w:tcPr>
            <w:tcW w:w="84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472DC" w:rsidRPr="003472DC" w:rsidRDefault="003472DC" w:rsidP="003472DC">
            <w:pPr>
              <w:spacing w:after="0" w:line="240" w:lineRule="auto"/>
              <w:jc w:val="center"/>
              <w:rPr>
                <w:rFonts w:ascii="Verdana" w:eastAsiaTheme="minorEastAsia" w:hAnsi="Verdana" w:cs="Times New Roman"/>
                <w:b/>
                <w:bCs/>
                <w:sz w:val="15"/>
                <w:szCs w:val="15"/>
                <w:lang w:eastAsia="es-ES"/>
              </w:rPr>
            </w:pPr>
            <w:r w:rsidRPr="003472DC">
              <w:rPr>
                <w:rFonts w:ascii="Verdana" w:eastAsiaTheme="minorEastAsia" w:hAnsi="Verdana" w:cs="Times New Roman"/>
                <w:b/>
                <w:bCs/>
                <w:sz w:val="15"/>
                <w:szCs w:val="15"/>
                <w:lang w:eastAsia="es-ES"/>
              </w:rPr>
              <w:t>REGÍMENES ESPECIALES DE RECAUDACIÓN</w:t>
            </w:r>
          </w:p>
        </w:tc>
      </w:tr>
      <w:tr w:rsidR="003472DC" w:rsidRPr="003472DC" w:rsidTr="003472DC">
        <w:trPr>
          <w:trHeight w:val="20"/>
          <w:jc w:val="center"/>
        </w:trPr>
        <w:tc>
          <w:tcPr>
            <w:tcW w:w="4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472DC" w:rsidRPr="003472DC" w:rsidRDefault="003472DC" w:rsidP="003472DC">
            <w:pPr>
              <w:spacing w:after="0" w:line="20" w:lineRule="atLeast"/>
              <w:jc w:val="center"/>
              <w:rPr>
                <w:rFonts w:ascii="Verdana" w:eastAsiaTheme="minorEastAsia" w:hAnsi="Verdana" w:cs="Times New Roman"/>
                <w:b/>
                <w:bCs/>
                <w:sz w:val="15"/>
                <w:szCs w:val="15"/>
                <w:lang w:eastAsia="es-ES"/>
              </w:rPr>
            </w:pPr>
            <w:r w:rsidRPr="003472DC">
              <w:rPr>
                <w:rFonts w:ascii="Verdana" w:eastAsiaTheme="minorEastAsia" w:hAnsi="Verdana" w:cs="Times New Roman"/>
                <w:b/>
                <w:bCs/>
                <w:sz w:val="15"/>
                <w:szCs w:val="15"/>
                <w:lang w:eastAsia="es-ES"/>
              </w:rPr>
              <w:t>Retención</w:t>
            </w:r>
          </w:p>
        </w:tc>
        <w:tc>
          <w:tcPr>
            <w:tcW w:w="42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472DC" w:rsidRPr="003472DC" w:rsidRDefault="003472DC" w:rsidP="003472DC">
            <w:pPr>
              <w:spacing w:after="0" w:line="20" w:lineRule="atLeast"/>
              <w:jc w:val="center"/>
              <w:rPr>
                <w:rFonts w:ascii="Verdana" w:eastAsiaTheme="minorEastAsia" w:hAnsi="Verdana" w:cs="Times New Roman"/>
                <w:b/>
                <w:bCs/>
                <w:sz w:val="15"/>
                <w:szCs w:val="15"/>
                <w:lang w:eastAsia="es-ES"/>
              </w:rPr>
            </w:pPr>
            <w:r w:rsidRPr="003472DC">
              <w:rPr>
                <w:rFonts w:ascii="Verdana" w:eastAsiaTheme="minorEastAsia" w:hAnsi="Verdana" w:cs="Times New Roman"/>
                <w:b/>
                <w:bCs/>
                <w:sz w:val="15"/>
                <w:szCs w:val="15"/>
                <w:lang w:eastAsia="es-ES"/>
              </w:rPr>
              <w:t>Percepción</w:t>
            </w:r>
          </w:p>
        </w:tc>
      </w:tr>
      <w:tr w:rsidR="003472DC" w:rsidRPr="003472DC" w:rsidTr="003472DC">
        <w:trPr>
          <w:trHeight w:val="20"/>
          <w:jc w:val="center"/>
        </w:trPr>
        <w:tc>
          <w:tcPr>
            <w:tcW w:w="4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0" w:lineRule="atLeast"/>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 xml:space="preserve">1. </w:t>
            </w:r>
            <w:r w:rsidRPr="003472DC">
              <w:rPr>
                <w:rFonts w:ascii="Verdana" w:eastAsiaTheme="minorEastAsia" w:hAnsi="Verdana" w:cs="Times New Roman"/>
                <w:sz w:val="15"/>
                <w:szCs w:val="15"/>
                <w:lang w:eastAsia="es-ES"/>
              </w:rPr>
              <w:t>Retención en la actividad agropecuaria</w:t>
            </w:r>
          </w:p>
        </w:tc>
        <w:tc>
          <w:tcPr>
            <w:tcW w:w="42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0" w:lineRule="atLeast"/>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1.</w:t>
            </w:r>
            <w:r w:rsidRPr="003472DC">
              <w:rPr>
                <w:rFonts w:ascii="Verdana" w:eastAsiaTheme="minorEastAsia" w:hAnsi="Verdana" w:cs="Times New Roman"/>
                <w:sz w:val="15"/>
                <w:szCs w:val="15"/>
                <w:lang w:eastAsia="es-ES"/>
              </w:rPr>
              <w:t xml:space="preserve"> Percepción de las empresas editoriales y/o importadoras de revistas condicionadas</w:t>
            </w:r>
          </w:p>
        </w:tc>
      </w:tr>
      <w:tr w:rsidR="003472DC" w:rsidRPr="003472DC" w:rsidTr="003472DC">
        <w:trPr>
          <w:trHeight w:val="387"/>
          <w:jc w:val="center"/>
        </w:trPr>
        <w:tc>
          <w:tcPr>
            <w:tcW w:w="4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ind w:left="360"/>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Se aplica en la compra a productores de semovientes, cereales y oleaginosas, hortalizas, verduras y frutas, o productos de granja y de corral, y en general, de todo tipo de mercaderías, frutos o productos agropecuarios, ictícolas y apícolas.</w:t>
            </w:r>
          </w:p>
        </w:tc>
        <w:tc>
          <w:tcPr>
            <w:tcW w:w="42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ind w:left="360"/>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Alcanza a las ventas de revistas y otros impresos, cuya venta o exhibición al público consumidor se encuentra restringida.</w:t>
            </w:r>
          </w:p>
        </w:tc>
      </w:tr>
      <w:tr w:rsidR="003472DC" w:rsidRPr="003472DC" w:rsidTr="003472DC">
        <w:trPr>
          <w:jc w:val="center"/>
        </w:trPr>
        <w:tc>
          <w:tcPr>
            <w:tcW w:w="4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 xml:space="preserve">2. </w:t>
            </w:r>
            <w:r w:rsidRPr="003472DC">
              <w:rPr>
                <w:rFonts w:ascii="Verdana" w:eastAsiaTheme="minorEastAsia" w:hAnsi="Verdana" w:cs="Times New Roman"/>
                <w:sz w:val="15"/>
                <w:szCs w:val="15"/>
                <w:lang w:eastAsia="es-ES"/>
              </w:rPr>
              <w:t>Retención a los proveedores de los Estados Provincial y Municipal</w:t>
            </w:r>
          </w:p>
        </w:tc>
        <w:tc>
          <w:tcPr>
            <w:tcW w:w="42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2.</w:t>
            </w:r>
            <w:r w:rsidRPr="003472DC">
              <w:rPr>
                <w:rFonts w:ascii="Verdana" w:eastAsiaTheme="minorEastAsia" w:hAnsi="Verdana" w:cs="Times New Roman"/>
                <w:sz w:val="15"/>
                <w:szCs w:val="15"/>
                <w:lang w:eastAsia="es-ES"/>
              </w:rPr>
              <w:t xml:space="preserve"> Percepción a cargo de las refinerías de combustibles</w:t>
            </w:r>
          </w:p>
        </w:tc>
      </w:tr>
      <w:tr w:rsidR="003472DC" w:rsidRPr="003472DC" w:rsidTr="003472DC">
        <w:trPr>
          <w:jc w:val="center"/>
        </w:trPr>
        <w:tc>
          <w:tcPr>
            <w:tcW w:w="4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ind w:left="360"/>
              <w:jc w:val="both"/>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Se aplica a las operaciones que realicen los concesionarios, contratistas y proveedores del Estado.</w:t>
            </w:r>
          </w:p>
        </w:tc>
        <w:tc>
          <w:tcPr>
            <w:tcW w:w="42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ind w:left="360"/>
              <w:jc w:val="both"/>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Ventas de combustibles líquidos a las compañías de transporte de pasajeros y carga.</w:t>
            </w:r>
          </w:p>
        </w:tc>
      </w:tr>
      <w:tr w:rsidR="003472DC" w:rsidRPr="003472DC" w:rsidTr="003472DC">
        <w:trPr>
          <w:jc w:val="center"/>
        </w:trPr>
        <w:tc>
          <w:tcPr>
            <w:tcW w:w="4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 xml:space="preserve">3. </w:t>
            </w:r>
            <w:r w:rsidRPr="003472DC">
              <w:rPr>
                <w:rFonts w:ascii="Verdana" w:eastAsiaTheme="minorEastAsia" w:hAnsi="Verdana" w:cs="Times New Roman"/>
                <w:sz w:val="15"/>
                <w:szCs w:val="15"/>
                <w:lang w:eastAsia="es-ES"/>
              </w:rPr>
              <w:t>Retención en la construcción</w:t>
            </w:r>
          </w:p>
        </w:tc>
        <w:tc>
          <w:tcPr>
            <w:tcW w:w="42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 xml:space="preserve">3. </w:t>
            </w:r>
            <w:r w:rsidRPr="003472DC">
              <w:rPr>
                <w:rFonts w:ascii="Verdana" w:eastAsiaTheme="minorEastAsia" w:hAnsi="Verdana" w:cs="Times New Roman"/>
                <w:sz w:val="15"/>
                <w:szCs w:val="15"/>
                <w:lang w:eastAsia="es-ES"/>
              </w:rPr>
              <w:t>Percepción en la venta de combustibles en general</w:t>
            </w:r>
          </w:p>
        </w:tc>
      </w:tr>
      <w:tr w:rsidR="003472DC" w:rsidRPr="003472DC" w:rsidTr="003472DC">
        <w:trPr>
          <w:jc w:val="center"/>
        </w:trPr>
        <w:tc>
          <w:tcPr>
            <w:tcW w:w="4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ind w:left="360"/>
              <w:jc w:val="both"/>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Se aplica en las operaciones que realicen los contratistas y subcontratistas de obras y servicios.</w:t>
            </w:r>
          </w:p>
        </w:tc>
        <w:tc>
          <w:tcPr>
            <w:tcW w:w="42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ind w:left="360"/>
              <w:jc w:val="both"/>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Comercialización mayorista de combustibles líquidos derivados del petróleo.</w:t>
            </w:r>
          </w:p>
        </w:tc>
      </w:tr>
      <w:tr w:rsidR="003472DC" w:rsidRPr="003472DC" w:rsidTr="003472DC">
        <w:trPr>
          <w:jc w:val="center"/>
        </w:trPr>
        <w:tc>
          <w:tcPr>
            <w:tcW w:w="4187" w:type="dxa"/>
            <w:tcBorders>
              <w:top w:val="single" w:sz="4" w:space="0" w:color="auto"/>
              <w:left w:val="single" w:sz="4" w:space="0" w:color="auto"/>
              <w:bottom w:val="single" w:sz="4" w:space="0" w:color="auto"/>
              <w:right w:val="single" w:sz="4" w:space="0" w:color="auto"/>
            </w:tcBorders>
            <w:hideMark/>
          </w:tcPr>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 xml:space="preserve">4. </w:t>
            </w:r>
            <w:r w:rsidRPr="003472DC">
              <w:rPr>
                <w:rFonts w:ascii="Verdana" w:eastAsiaTheme="minorEastAsia" w:hAnsi="Verdana" w:cs="Times New Roman"/>
                <w:sz w:val="15"/>
                <w:szCs w:val="15"/>
                <w:lang w:eastAsia="es-ES"/>
              </w:rPr>
              <w:t>Retención en los seguros</w:t>
            </w:r>
          </w:p>
        </w:tc>
        <w:tc>
          <w:tcPr>
            <w:tcW w:w="4294" w:type="dxa"/>
            <w:tcBorders>
              <w:top w:val="single" w:sz="4" w:space="0" w:color="auto"/>
              <w:left w:val="single" w:sz="4" w:space="0" w:color="auto"/>
              <w:bottom w:val="single" w:sz="4" w:space="0" w:color="auto"/>
              <w:right w:val="single" w:sz="4" w:space="0" w:color="auto"/>
            </w:tcBorders>
            <w:hideMark/>
          </w:tcPr>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4.</w:t>
            </w:r>
            <w:r w:rsidRPr="003472DC">
              <w:rPr>
                <w:rFonts w:ascii="Verdana" w:eastAsiaTheme="minorEastAsia" w:hAnsi="Verdana" w:cs="Times New Roman"/>
                <w:sz w:val="15"/>
                <w:szCs w:val="15"/>
                <w:lang w:eastAsia="es-ES"/>
              </w:rPr>
              <w:t xml:space="preserve"> Percepción en la venta de medicamentos</w:t>
            </w:r>
          </w:p>
        </w:tc>
      </w:tr>
      <w:tr w:rsidR="003472DC" w:rsidRPr="003472DC" w:rsidTr="003472DC">
        <w:trPr>
          <w:jc w:val="center"/>
        </w:trPr>
        <w:tc>
          <w:tcPr>
            <w:tcW w:w="4187" w:type="dxa"/>
            <w:tcBorders>
              <w:top w:val="single" w:sz="4" w:space="0" w:color="auto"/>
              <w:left w:val="single" w:sz="4" w:space="0" w:color="auto"/>
              <w:bottom w:val="single" w:sz="4" w:space="0" w:color="auto"/>
              <w:right w:val="single" w:sz="4" w:space="0" w:color="auto"/>
            </w:tcBorders>
            <w:hideMark/>
          </w:tcPr>
          <w:p w:rsidR="003472DC" w:rsidRPr="003472DC" w:rsidRDefault="003472DC" w:rsidP="003472DC">
            <w:pPr>
              <w:spacing w:after="0" w:line="240" w:lineRule="auto"/>
              <w:ind w:left="360"/>
              <w:jc w:val="both"/>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Se aplican en los pagos que realicen las entidades de seguros por la adquisición de bienes, honorarios, y locaciones o prestaciones de servicios realizadas en la provincia.</w:t>
            </w:r>
          </w:p>
        </w:tc>
        <w:tc>
          <w:tcPr>
            <w:tcW w:w="4294" w:type="dxa"/>
            <w:tcBorders>
              <w:top w:val="single" w:sz="4" w:space="0" w:color="auto"/>
              <w:left w:val="single" w:sz="4" w:space="0" w:color="auto"/>
              <w:bottom w:val="single" w:sz="4" w:space="0" w:color="auto"/>
              <w:right w:val="single" w:sz="4" w:space="0" w:color="auto"/>
            </w:tcBorders>
            <w:hideMark/>
          </w:tcPr>
          <w:p w:rsidR="003472DC" w:rsidRPr="003472DC" w:rsidRDefault="003472DC" w:rsidP="003472DC">
            <w:pPr>
              <w:spacing w:after="0" w:line="240" w:lineRule="auto"/>
              <w:ind w:left="360"/>
              <w:jc w:val="both"/>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Comercialización mayorista de medicamentos, principios activos o drogas farmacéuticas y especialidades medicinales o farmacéuticas.</w:t>
            </w:r>
          </w:p>
        </w:tc>
      </w:tr>
      <w:tr w:rsidR="003472DC" w:rsidRPr="003472DC" w:rsidTr="003472DC">
        <w:trPr>
          <w:jc w:val="center"/>
        </w:trPr>
        <w:tc>
          <w:tcPr>
            <w:tcW w:w="4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 xml:space="preserve">5. </w:t>
            </w:r>
            <w:r w:rsidRPr="003472DC">
              <w:rPr>
                <w:rFonts w:ascii="Verdana" w:eastAsiaTheme="minorEastAsia" w:hAnsi="Verdana" w:cs="Times New Roman"/>
                <w:sz w:val="15"/>
                <w:szCs w:val="15"/>
                <w:lang w:eastAsia="es-ES"/>
              </w:rPr>
              <w:t>Retención por honorarios profesionales</w:t>
            </w:r>
          </w:p>
        </w:tc>
        <w:tc>
          <w:tcPr>
            <w:tcW w:w="4294" w:type="dxa"/>
            <w:tcBorders>
              <w:top w:val="single" w:sz="4" w:space="0" w:color="auto"/>
              <w:left w:val="single" w:sz="4" w:space="0" w:color="auto"/>
              <w:bottom w:val="single" w:sz="4" w:space="0" w:color="auto"/>
              <w:right w:val="single" w:sz="4" w:space="0" w:color="auto"/>
            </w:tcBorders>
            <w:hideMark/>
          </w:tcPr>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5.</w:t>
            </w:r>
            <w:r w:rsidRPr="003472DC">
              <w:rPr>
                <w:rFonts w:ascii="Verdana" w:eastAsiaTheme="minorEastAsia" w:hAnsi="Verdana" w:cs="Times New Roman"/>
                <w:sz w:val="15"/>
                <w:szCs w:val="15"/>
                <w:lang w:eastAsia="es-ES"/>
              </w:rPr>
              <w:t xml:space="preserve"> Percepción en la importación definitiva de mercadería</w:t>
            </w:r>
          </w:p>
        </w:tc>
      </w:tr>
      <w:tr w:rsidR="003472DC" w:rsidRPr="003472DC" w:rsidTr="003472DC">
        <w:trPr>
          <w:jc w:val="center"/>
        </w:trPr>
        <w:tc>
          <w:tcPr>
            <w:tcW w:w="4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ind w:left="360"/>
              <w:jc w:val="both"/>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Se aplica en los pagos que realicen la provincia, las municipalidades, el Banco de la Prov. de Buenos Aires, y los colegios y organismos profesionales en concepto de honorarios profesionales universitarios, y martilleros.</w:t>
            </w:r>
          </w:p>
        </w:tc>
        <w:tc>
          <w:tcPr>
            <w:tcW w:w="4294" w:type="dxa"/>
            <w:tcBorders>
              <w:top w:val="single" w:sz="4" w:space="0" w:color="auto"/>
              <w:left w:val="single" w:sz="4" w:space="0" w:color="auto"/>
              <w:bottom w:val="single" w:sz="4" w:space="0" w:color="auto"/>
              <w:right w:val="single" w:sz="4" w:space="0" w:color="auto"/>
            </w:tcBorders>
            <w:hideMark/>
          </w:tcPr>
          <w:p w:rsidR="003472DC" w:rsidRPr="003472DC" w:rsidRDefault="003472DC" w:rsidP="003472DC">
            <w:pPr>
              <w:spacing w:after="0" w:line="240" w:lineRule="auto"/>
              <w:ind w:left="360"/>
              <w:jc w:val="both"/>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Las operaciones de importación definitiva para consumo de mercadería.</w:t>
            </w:r>
          </w:p>
        </w:tc>
      </w:tr>
      <w:tr w:rsidR="003472DC" w:rsidRPr="003472DC" w:rsidTr="003472DC">
        <w:trPr>
          <w:jc w:val="center"/>
        </w:trPr>
        <w:tc>
          <w:tcPr>
            <w:tcW w:w="4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 xml:space="preserve">6. </w:t>
            </w:r>
            <w:r w:rsidRPr="003472DC">
              <w:rPr>
                <w:rFonts w:ascii="Verdana" w:eastAsiaTheme="minorEastAsia" w:hAnsi="Verdana" w:cs="Times New Roman"/>
                <w:sz w:val="15"/>
                <w:szCs w:val="15"/>
                <w:lang w:eastAsia="es-ES"/>
              </w:rPr>
              <w:t>Retención en la tarjeta de crédito y similares</w:t>
            </w:r>
          </w:p>
        </w:tc>
        <w:tc>
          <w:tcPr>
            <w:tcW w:w="4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2DC" w:rsidRPr="003472DC" w:rsidRDefault="003472DC" w:rsidP="003472DC">
            <w:pPr>
              <w:spacing w:after="0" w:line="240" w:lineRule="auto"/>
              <w:rPr>
                <w:rFonts w:ascii="Verdana" w:eastAsiaTheme="minorEastAsia" w:hAnsi="Verdana" w:cs="Times New Roman"/>
                <w:sz w:val="15"/>
                <w:szCs w:val="15"/>
                <w:lang w:eastAsia="es-ES"/>
              </w:rPr>
            </w:pPr>
          </w:p>
        </w:tc>
      </w:tr>
      <w:tr w:rsidR="003472DC" w:rsidRPr="003472DC" w:rsidTr="003472DC">
        <w:trPr>
          <w:jc w:val="center"/>
        </w:trPr>
        <w:tc>
          <w:tcPr>
            <w:tcW w:w="4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72DC" w:rsidRPr="003472DC" w:rsidRDefault="003472DC" w:rsidP="003472DC">
            <w:pPr>
              <w:spacing w:after="0" w:line="240" w:lineRule="auto"/>
              <w:ind w:left="360"/>
              <w:jc w:val="both"/>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Alcanza los pagos de bienes y servicios adquiridos mediante tarjetas de crédito y similares.</w:t>
            </w:r>
          </w:p>
        </w:tc>
        <w:tc>
          <w:tcPr>
            <w:tcW w:w="4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2DC" w:rsidRPr="003472DC" w:rsidRDefault="003472DC" w:rsidP="003472DC">
            <w:pPr>
              <w:spacing w:after="0" w:line="240" w:lineRule="auto"/>
              <w:rPr>
                <w:rFonts w:ascii="Verdana" w:eastAsiaTheme="minorEastAsia" w:hAnsi="Verdana" w:cs="Times New Roman"/>
                <w:sz w:val="15"/>
                <w:szCs w:val="15"/>
                <w:lang w:eastAsia="es-ES"/>
              </w:rPr>
            </w:pPr>
          </w:p>
        </w:tc>
      </w:tr>
      <w:tr w:rsidR="003472DC" w:rsidRPr="003472DC" w:rsidTr="003472DC">
        <w:trPr>
          <w:jc w:val="center"/>
        </w:trPr>
        <w:tc>
          <w:tcPr>
            <w:tcW w:w="4187" w:type="dxa"/>
            <w:tcBorders>
              <w:top w:val="single" w:sz="4" w:space="0" w:color="auto"/>
              <w:left w:val="single" w:sz="4" w:space="0" w:color="auto"/>
              <w:bottom w:val="single" w:sz="4" w:space="0" w:color="auto"/>
              <w:right w:val="single" w:sz="4" w:space="0" w:color="auto"/>
            </w:tcBorders>
            <w:hideMark/>
          </w:tcPr>
          <w:p w:rsidR="003472DC" w:rsidRPr="003472DC" w:rsidRDefault="003472DC" w:rsidP="003472DC">
            <w:pPr>
              <w:spacing w:after="0" w:line="240" w:lineRule="auto"/>
              <w:rPr>
                <w:rFonts w:ascii="Verdana" w:eastAsiaTheme="minorEastAsia" w:hAnsi="Verdana" w:cs="Times New Roman"/>
                <w:sz w:val="15"/>
                <w:szCs w:val="15"/>
                <w:lang w:eastAsia="es-ES"/>
              </w:rPr>
            </w:pPr>
            <w:r w:rsidRPr="003472DC">
              <w:rPr>
                <w:rFonts w:ascii="Verdana" w:eastAsiaTheme="minorEastAsia" w:hAnsi="Verdana" w:cs="Times New Roman"/>
                <w:b/>
                <w:bCs/>
                <w:sz w:val="15"/>
                <w:szCs w:val="15"/>
                <w:lang w:eastAsia="es-ES"/>
              </w:rPr>
              <w:t xml:space="preserve">7. </w:t>
            </w:r>
            <w:r w:rsidRPr="003472DC">
              <w:rPr>
                <w:rFonts w:ascii="Verdana" w:eastAsiaTheme="minorEastAsia" w:hAnsi="Verdana" w:cs="Times New Roman"/>
                <w:sz w:val="15"/>
                <w:szCs w:val="15"/>
                <w:lang w:eastAsia="es-ES"/>
              </w:rPr>
              <w:t>Retención por las entidades de ahorro para fines fiscales</w:t>
            </w:r>
          </w:p>
        </w:tc>
        <w:tc>
          <w:tcPr>
            <w:tcW w:w="4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2DC" w:rsidRPr="003472DC" w:rsidRDefault="003472DC" w:rsidP="003472DC">
            <w:pPr>
              <w:spacing w:after="0" w:line="240" w:lineRule="auto"/>
              <w:rPr>
                <w:rFonts w:ascii="Verdana" w:eastAsiaTheme="minorEastAsia" w:hAnsi="Verdana" w:cs="Times New Roman"/>
                <w:sz w:val="15"/>
                <w:szCs w:val="15"/>
                <w:lang w:eastAsia="es-ES"/>
              </w:rPr>
            </w:pPr>
          </w:p>
        </w:tc>
      </w:tr>
      <w:tr w:rsidR="003472DC" w:rsidRPr="003472DC" w:rsidTr="003472DC">
        <w:trPr>
          <w:trHeight w:val="20"/>
          <w:jc w:val="center"/>
        </w:trPr>
        <w:tc>
          <w:tcPr>
            <w:tcW w:w="4187" w:type="dxa"/>
            <w:tcBorders>
              <w:top w:val="single" w:sz="4" w:space="0" w:color="auto"/>
              <w:left w:val="single" w:sz="4" w:space="0" w:color="auto"/>
              <w:bottom w:val="single" w:sz="4" w:space="0" w:color="auto"/>
              <w:right w:val="single" w:sz="4" w:space="0" w:color="auto"/>
            </w:tcBorders>
            <w:hideMark/>
          </w:tcPr>
          <w:p w:rsidR="003472DC" w:rsidRPr="003472DC" w:rsidRDefault="003472DC" w:rsidP="003472DC">
            <w:pPr>
              <w:spacing w:after="0" w:line="20" w:lineRule="atLeast"/>
              <w:ind w:left="360"/>
              <w:jc w:val="both"/>
              <w:rPr>
                <w:rFonts w:ascii="Verdana" w:eastAsiaTheme="minorEastAsia" w:hAnsi="Verdana" w:cs="Times New Roman"/>
                <w:sz w:val="15"/>
                <w:szCs w:val="15"/>
                <w:lang w:eastAsia="es-ES"/>
              </w:rPr>
            </w:pPr>
            <w:r w:rsidRPr="003472DC">
              <w:rPr>
                <w:rFonts w:ascii="Verdana" w:eastAsiaTheme="minorEastAsia" w:hAnsi="Verdana" w:cs="Times New Roman"/>
                <w:sz w:val="15"/>
                <w:szCs w:val="15"/>
                <w:lang w:eastAsia="es-ES"/>
              </w:rPr>
              <w:t xml:space="preserve">* Por la compra de automotores a las terminales </w:t>
            </w:r>
            <w:r w:rsidRPr="003472DC">
              <w:rPr>
                <w:rFonts w:ascii="Verdana" w:eastAsiaTheme="minorEastAsia" w:hAnsi="Verdana" w:cs="Times New Roman"/>
                <w:sz w:val="15"/>
                <w:szCs w:val="15"/>
                <w:lang w:eastAsia="es-ES"/>
              </w:rPr>
              <w:lastRenderedPageBreak/>
              <w:t>automotrices respecto de las unidades vehiculares que se entreguen en la jurisdicción.</w:t>
            </w:r>
          </w:p>
        </w:tc>
        <w:tc>
          <w:tcPr>
            <w:tcW w:w="4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2DC" w:rsidRPr="003472DC" w:rsidRDefault="003472DC" w:rsidP="003472DC">
            <w:pPr>
              <w:spacing w:after="0" w:line="240" w:lineRule="auto"/>
              <w:rPr>
                <w:rFonts w:ascii="Verdana" w:eastAsiaTheme="minorEastAsia" w:hAnsi="Verdana" w:cs="Times New Roman"/>
                <w:sz w:val="2"/>
                <w:szCs w:val="15"/>
                <w:lang w:eastAsia="es-ES"/>
              </w:rPr>
            </w:pPr>
          </w:p>
        </w:tc>
      </w:tr>
    </w:tbl>
    <w:p w:rsidR="003472DC" w:rsidRPr="003472DC" w:rsidRDefault="003472DC" w:rsidP="003472DC">
      <w:pPr>
        <w:spacing w:after="0" w:line="240" w:lineRule="auto"/>
        <w:rPr>
          <w:rFonts w:ascii="Times New Roman" w:eastAsiaTheme="minorEastAsia" w:hAnsi="Times New Roman" w:cs="Times New Roman"/>
          <w:sz w:val="24"/>
          <w:szCs w:val="24"/>
          <w:lang w:val="es-AR" w:eastAsia="es-ES"/>
        </w:rPr>
      </w:pPr>
      <w:r w:rsidRPr="003472DC">
        <w:rPr>
          <w:rFonts w:ascii="Times New Roman" w:eastAsiaTheme="minorEastAsia" w:hAnsi="Times New Roman" w:cs="Times New Roman"/>
          <w:sz w:val="24"/>
          <w:szCs w:val="24"/>
          <w:lang w:val="es-AR" w:eastAsia="es-ES"/>
        </w:rPr>
        <w:lastRenderedPageBreak/>
        <w:t> </w:t>
      </w:r>
    </w:p>
    <w:p w:rsidR="003472DC" w:rsidRPr="001D155D" w:rsidRDefault="003472DC" w:rsidP="001D155D">
      <w:pPr>
        <w:rPr>
          <w:rFonts w:ascii="Verdana" w:eastAsiaTheme="minorEastAsia" w:hAnsi="Verdana" w:cs="Times New Roman"/>
          <w:b/>
          <w:bCs/>
          <w:i/>
          <w:iCs/>
          <w:sz w:val="16"/>
          <w:szCs w:val="16"/>
          <w:lang w:val="es-AR" w:eastAsia="es-ES"/>
        </w:rPr>
      </w:pPr>
      <w:r w:rsidRPr="00C86CE3">
        <w:rPr>
          <w:rFonts w:ascii="Arial" w:eastAsiaTheme="minorEastAsia" w:hAnsi="Arial" w:cs="Arial"/>
          <w:b/>
          <w:bCs/>
          <w:i/>
          <w:iCs/>
          <w:sz w:val="36"/>
          <w:szCs w:val="36"/>
          <w:lang w:val="es-AR" w:eastAsia="es-ES"/>
        </w:rPr>
        <w:t xml:space="preserve">Opinión Fiscal. </w:t>
      </w:r>
      <w:r w:rsidRPr="00C86CE3">
        <w:rPr>
          <w:rFonts w:ascii="Arial" w:eastAsiaTheme="minorEastAsia" w:hAnsi="Arial" w:cs="Arial"/>
          <w:color w:val="0000FF" w:themeColor="hyperlink"/>
          <w:sz w:val="36"/>
          <w:szCs w:val="36"/>
          <w:u w:val="single"/>
          <w:lang w:val="es-AR" w:eastAsia="es-ES"/>
        </w:rPr>
        <w:t>Informe técnico 22 del 24/5/2013</w:t>
      </w:r>
    </w:p>
    <w:p w:rsidR="003472DC" w:rsidRPr="00C86CE3" w:rsidRDefault="003472DC" w:rsidP="003472DC">
      <w:pPr>
        <w:spacing w:before="80" w:after="0" w:line="240" w:lineRule="auto"/>
        <w:ind w:firstLine="360"/>
        <w:jc w:val="both"/>
        <w:rPr>
          <w:rFonts w:ascii="Arial" w:eastAsiaTheme="minorEastAsia" w:hAnsi="Arial" w:cs="Arial"/>
          <w:i/>
          <w:iCs/>
          <w:sz w:val="36"/>
          <w:szCs w:val="36"/>
          <w:lang w:eastAsia="es-ES"/>
        </w:rPr>
      </w:pPr>
      <w:r w:rsidRPr="00C86CE3">
        <w:rPr>
          <w:rFonts w:ascii="Arial" w:eastAsiaTheme="minorEastAsia" w:hAnsi="Arial" w:cs="Arial"/>
          <w:sz w:val="36"/>
          <w:szCs w:val="36"/>
          <w:lang w:val="es-AR" w:eastAsia="es-ES"/>
        </w:rPr>
        <w:t>La Dirección expresa: “</w:t>
      </w:r>
      <w:r w:rsidRPr="00C86CE3">
        <w:rPr>
          <w:rFonts w:ascii="Arial" w:eastAsiaTheme="minorEastAsia" w:hAnsi="Arial" w:cs="Arial"/>
          <w:i/>
          <w:iCs/>
          <w:sz w:val="36"/>
          <w:szCs w:val="36"/>
          <w:lang w:val="es-AR" w:eastAsia="es-ES"/>
        </w:rPr>
        <w:t xml:space="preserve">Es de hacer notar que dicha previsión resulta de aplicación generalizada a todos los mecanismos de recaudación, tanto generales como especiales, </w:t>
      </w:r>
      <w:r w:rsidRPr="00C86CE3">
        <w:rPr>
          <w:rFonts w:ascii="Arial" w:eastAsiaTheme="minorEastAsia" w:hAnsi="Arial" w:cs="Arial"/>
          <w:i/>
          <w:iCs/>
          <w:sz w:val="20"/>
          <w:szCs w:val="20"/>
          <w:lang w:val="es-AR" w:eastAsia="es-ES"/>
        </w:rPr>
        <w:t xml:space="preserve">instituidos en el </w:t>
      </w:r>
      <w:r w:rsidRPr="00C86CE3">
        <w:rPr>
          <w:rFonts w:ascii="Arial" w:eastAsiaTheme="minorEastAsia" w:hAnsi="Arial" w:cs="Arial"/>
          <w:color w:val="0000FF" w:themeColor="hyperlink"/>
          <w:sz w:val="20"/>
          <w:szCs w:val="20"/>
          <w:u w:val="single"/>
          <w:lang w:val="es-AR" w:eastAsia="es-ES"/>
        </w:rPr>
        <w:t>Título V (Agentes de recaudación), Capítulo IV (Impuesto sobre los ingresos brutos), de la disposición normativa Serie “B” 1/2004</w:t>
      </w:r>
      <w:r w:rsidRPr="00C86CE3">
        <w:rPr>
          <w:rFonts w:ascii="Arial" w:eastAsiaTheme="minorEastAsia" w:hAnsi="Arial" w:cs="Arial"/>
          <w:sz w:val="20"/>
          <w:szCs w:val="20"/>
          <w:lang w:val="es-AR" w:eastAsia="es-ES"/>
        </w:rPr>
        <w:t xml:space="preserve">. </w:t>
      </w:r>
      <w:r w:rsidRPr="00C86CE3">
        <w:rPr>
          <w:rFonts w:ascii="Arial" w:eastAsiaTheme="minorEastAsia" w:hAnsi="Arial" w:cs="Arial"/>
          <w:i/>
          <w:iCs/>
          <w:sz w:val="20"/>
          <w:szCs w:val="20"/>
          <w:lang w:val="es-AR" w:eastAsia="es-ES"/>
        </w:rPr>
        <w:t>Ya la misma ubicación sistemática en el cuerpo de la citada reglamentación (‘antes’ de cada una de las Secciones que regulan las previsiones aplicables a todos los regímenes de percepción y retención), así claramente lo revela.”</w:t>
      </w:r>
    </w:p>
    <w:p w:rsidR="003472DC" w:rsidRPr="003472DC" w:rsidRDefault="003472DC" w:rsidP="003472DC">
      <w:pPr>
        <w:spacing w:before="80" w:after="0" w:line="240" w:lineRule="auto"/>
        <w:ind w:firstLine="360"/>
        <w:jc w:val="both"/>
        <w:rPr>
          <w:rFonts w:ascii="Verdana" w:eastAsiaTheme="minorEastAsia" w:hAnsi="Verdana" w:cs="Times New Roman"/>
          <w:sz w:val="16"/>
          <w:szCs w:val="16"/>
          <w:lang w:eastAsia="es-ES"/>
        </w:rPr>
      </w:pPr>
      <w:r w:rsidRPr="003472DC">
        <w:rPr>
          <w:rFonts w:ascii="Verdana" w:eastAsiaTheme="minorEastAsia" w:hAnsi="Verdana" w:cs="Times New Roman"/>
          <w:b/>
          <w:bCs/>
          <w:i/>
          <w:iCs/>
          <w:sz w:val="16"/>
          <w:szCs w:val="16"/>
          <w:lang w:val="es-AR" w:eastAsia="es-ES"/>
        </w:rPr>
        <w:t>Nuestro comentario:</w:t>
      </w:r>
      <w:r w:rsidRPr="003472DC">
        <w:rPr>
          <w:rFonts w:ascii="Verdana" w:eastAsiaTheme="minorEastAsia" w:hAnsi="Verdana" w:cs="Times New Roman"/>
          <w:sz w:val="16"/>
          <w:szCs w:val="16"/>
          <w:lang w:val="es-AR" w:eastAsia="es-ES"/>
        </w:rPr>
        <w:t xml:space="preserve"> Se hace referencia a lo previsto por el </w:t>
      </w:r>
      <w:hyperlink r:id="rId8" w:anchor="I_P_Buenos_Aires_DN_1-2004_art_318" w:history="1">
        <w:r w:rsidRPr="003472DC">
          <w:rPr>
            <w:rFonts w:ascii="Verdana" w:eastAsiaTheme="minorEastAsia" w:hAnsi="Verdana" w:cs="Times New Roman"/>
            <w:color w:val="0000FF" w:themeColor="hyperlink"/>
            <w:sz w:val="16"/>
            <w:szCs w:val="16"/>
            <w:u w:val="single"/>
            <w:lang w:val="es-AR" w:eastAsia="es-ES"/>
          </w:rPr>
          <w:t>artículo 318 de la disposición normativa “B” 1/2004</w:t>
        </w:r>
      </w:hyperlink>
      <w:r w:rsidRPr="003472DC">
        <w:rPr>
          <w:rFonts w:ascii="Verdana" w:eastAsiaTheme="minorEastAsia" w:hAnsi="Verdana" w:cs="Times New Roman"/>
          <w:sz w:val="16"/>
          <w:szCs w:val="16"/>
          <w:lang w:val="es-AR" w:eastAsia="es-ES"/>
        </w:rPr>
        <w:t>, arriba indicado por nosotros.</w:t>
      </w:r>
    </w:p>
    <w:p w:rsidR="003472DC" w:rsidRPr="003472DC" w:rsidRDefault="003472DC" w:rsidP="003472DC">
      <w:pPr>
        <w:spacing w:before="80" w:after="0" w:line="240" w:lineRule="auto"/>
        <w:ind w:firstLine="360"/>
        <w:jc w:val="both"/>
        <w:rPr>
          <w:rFonts w:ascii="Verdana" w:eastAsiaTheme="minorEastAsia" w:hAnsi="Verdana" w:cs="Times New Roman"/>
          <w:i/>
          <w:iCs/>
          <w:sz w:val="16"/>
          <w:szCs w:val="16"/>
          <w:lang w:eastAsia="es-ES"/>
        </w:rPr>
      </w:pPr>
      <w:r w:rsidRPr="003472DC">
        <w:rPr>
          <w:rFonts w:ascii="Verdana" w:eastAsiaTheme="minorEastAsia" w:hAnsi="Verdana" w:cs="Times New Roman"/>
          <w:sz w:val="16"/>
          <w:szCs w:val="16"/>
          <w:lang w:val="es-AR" w:eastAsia="es-ES"/>
        </w:rPr>
        <w:t xml:space="preserve">Se resuelve: </w:t>
      </w:r>
      <w:r w:rsidRPr="003472DC">
        <w:rPr>
          <w:rFonts w:ascii="Verdana" w:eastAsiaTheme="minorEastAsia" w:hAnsi="Verdana" w:cs="Times New Roman"/>
          <w:i/>
          <w:iCs/>
          <w:sz w:val="16"/>
          <w:szCs w:val="16"/>
          <w:lang w:val="es-AR" w:eastAsia="es-ES"/>
        </w:rPr>
        <w:t xml:space="preserve">En definitiva, no puede sino entenderse que el alcance de lo previsto en el artículo 318 de la reglamentación en cuestión se proyecta respecto de todos los regímenes, tanto generales como especiales, regulados, en las distintas “secciones” que se contemplan con posterioridad a aquel. </w:t>
      </w:r>
    </w:p>
    <w:p w:rsidR="003472DC" w:rsidRPr="003472DC" w:rsidRDefault="003472DC" w:rsidP="003472DC">
      <w:pPr>
        <w:spacing w:before="80" w:after="0" w:line="240" w:lineRule="auto"/>
        <w:ind w:firstLine="360"/>
        <w:jc w:val="both"/>
        <w:rPr>
          <w:rFonts w:ascii="Verdana" w:eastAsiaTheme="minorEastAsia" w:hAnsi="Verdana" w:cs="Times New Roman"/>
          <w:sz w:val="16"/>
          <w:szCs w:val="16"/>
          <w:lang w:eastAsia="es-ES"/>
        </w:rPr>
      </w:pPr>
      <w:r w:rsidRPr="003472DC">
        <w:rPr>
          <w:rFonts w:ascii="Verdana" w:eastAsiaTheme="minorEastAsia" w:hAnsi="Verdana" w:cs="Times New Roman"/>
          <w:i/>
          <w:iCs/>
          <w:sz w:val="16"/>
          <w:szCs w:val="16"/>
          <w:lang w:val="es-AR" w:eastAsia="es-ES"/>
        </w:rPr>
        <w:t xml:space="preserve">En consecuencia, cuando los contribuyentes no reúnan las condiciones exigidas en el consabido artículo 318 de la disposición normativa Serie “B” 1/2004, no se encuentran obligados a actuar como agentes de recaudación del impuesto sobre los ingresos brutos, en el marco de -entre otros-, los regímenes generales de retención y percepción regulados en el </w:t>
      </w:r>
      <w:hyperlink r:id="rId9" w:anchor="I_P_Buenos_Aires_DN_1-2004_Art_319" w:history="1">
        <w:r w:rsidRPr="003472DC">
          <w:rPr>
            <w:rFonts w:ascii="Verdana" w:eastAsiaTheme="minorEastAsia" w:hAnsi="Verdana" w:cs="Times New Roman"/>
            <w:color w:val="0000FF" w:themeColor="hyperlink"/>
            <w:sz w:val="16"/>
            <w:szCs w:val="16"/>
            <w:u w:val="single"/>
            <w:lang w:val="es-AR" w:eastAsia="es-ES"/>
          </w:rPr>
          <w:t>artículo 319</w:t>
        </w:r>
      </w:hyperlink>
      <w:r w:rsidRPr="003472DC">
        <w:rPr>
          <w:rFonts w:ascii="Verdana" w:eastAsiaTheme="minorEastAsia" w:hAnsi="Verdana" w:cs="Times New Roman"/>
          <w:i/>
          <w:iCs/>
          <w:sz w:val="16"/>
          <w:szCs w:val="16"/>
          <w:lang w:val="es-AR" w:eastAsia="es-ES"/>
        </w:rPr>
        <w:t xml:space="preserve"> y siguientes y concordantes del ordenamiento referido.</w:t>
      </w:r>
    </w:p>
    <w:p w:rsidR="003472DC" w:rsidRPr="003472DC" w:rsidRDefault="003472DC" w:rsidP="003472DC">
      <w:pPr>
        <w:spacing w:before="80" w:after="0" w:line="240" w:lineRule="auto"/>
        <w:ind w:firstLine="360"/>
        <w:jc w:val="both"/>
        <w:rPr>
          <w:rFonts w:ascii="Verdana" w:eastAsiaTheme="minorEastAsia" w:hAnsi="Verdana" w:cs="Times New Roman"/>
          <w:sz w:val="16"/>
          <w:szCs w:val="16"/>
          <w:lang w:val="es-AR" w:eastAsia="es-ES"/>
        </w:rPr>
      </w:pPr>
      <w:r w:rsidRPr="003472DC">
        <w:rPr>
          <w:rFonts w:ascii="Verdana" w:eastAsiaTheme="minorEastAsia" w:hAnsi="Verdana" w:cs="Times New Roman"/>
          <w:b/>
          <w:bCs/>
          <w:i/>
          <w:iCs/>
          <w:sz w:val="16"/>
          <w:szCs w:val="16"/>
          <w:lang w:val="es-AR" w:eastAsia="es-ES"/>
        </w:rPr>
        <w:t>Nuestro comentario:</w:t>
      </w:r>
      <w:r w:rsidRPr="003472DC">
        <w:rPr>
          <w:rFonts w:ascii="Verdana" w:eastAsiaTheme="minorEastAsia" w:hAnsi="Verdana" w:cs="Times New Roman"/>
          <w:sz w:val="16"/>
          <w:szCs w:val="16"/>
          <w:lang w:val="es-AR" w:eastAsia="es-ES"/>
        </w:rPr>
        <w:t xml:space="preserve"> De esta manera, en una consulta referida a la aplicación de la </w:t>
      </w:r>
      <w:hyperlink r:id="rId10" w:history="1">
        <w:r w:rsidRPr="003472DC">
          <w:rPr>
            <w:rFonts w:ascii="Verdana" w:eastAsiaTheme="minorEastAsia" w:hAnsi="Verdana" w:cs="Times New Roman"/>
            <w:color w:val="0000FF" w:themeColor="hyperlink"/>
            <w:sz w:val="16"/>
            <w:szCs w:val="16"/>
            <w:u w:val="single"/>
            <w:lang w:val="es-AR" w:eastAsia="es-ES"/>
          </w:rPr>
          <w:t>resolución normativa 41/2012</w:t>
        </w:r>
      </w:hyperlink>
      <w:hyperlink r:id="rId11" w:anchor="PIBA_ALANIZ_Q2" w:history="1">
        <w:r w:rsidRPr="003472DC">
          <w:rPr>
            <w:rFonts w:ascii="Verdana" w:eastAsiaTheme="minorEastAsia" w:hAnsi="Verdana" w:cs="Times New Roman"/>
            <w:color w:val="0000FF" w:themeColor="hyperlink"/>
            <w:sz w:val="14"/>
            <w:u w:val="single"/>
            <w:vertAlign w:val="superscript"/>
            <w:lang w:val="es-AR" w:eastAsia="es-ES"/>
          </w:rPr>
          <w:t>(2)</w:t>
        </w:r>
      </w:hyperlink>
      <w:r w:rsidRPr="003472DC">
        <w:rPr>
          <w:rFonts w:ascii="Verdana" w:eastAsiaTheme="minorEastAsia" w:hAnsi="Verdana" w:cs="Times New Roman"/>
          <w:sz w:val="16"/>
          <w:szCs w:val="16"/>
          <w:lang w:val="es-AR" w:eastAsia="es-ES"/>
        </w:rPr>
        <w:t>, la Dirección destina su análisis y resuelve conjuntamente y con toda claridad, el tratamiento a dispensar al resto de los regímenes de recaudación. De este modo, se deja sentado con ello que la condición de territorialidad resulta condición (valga la redundancia) necesaria tanto para los regímenes generales de retención y percepción como así también para los regímenes específicos de recaudación.</w:t>
      </w:r>
    </w:p>
    <w:p w:rsidR="003472DC" w:rsidRPr="003472DC" w:rsidRDefault="003472DC" w:rsidP="003472DC">
      <w:pPr>
        <w:pBdr>
          <w:bottom w:val="single" w:sz="12" w:space="0" w:color="000000"/>
        </w:pBdr>
        <w:spacing w:before="400" w:line="240" w:lineRule="auto"/>
        <w:jc w:val="both"/>
        <w:rPr>
          <w:rFonts w:ascii="Verdana" w:eastAsiaTheme="minorEastAsia" w:hAnsi="Verdana" w:cs="Times New Roman"/>
          <w:b/>
          <w:bCs/>
          <w:lang w:val="es-AR" w:eastAsia="es-ES"/>
        </w:rPr>
      </w:pPr>
      <w:r w:rsidRPr="003472DC">
        <w:rPr>
          <w:rFonts w:ascii="Verdana" w:eastAsiaTheme="minorEastAsia" w:hAnsi="Verdana" w:cs="Times New Roman"/>
          <w:b/>
          <w:bCs/>
          <w:lang w:val="es-AR" w:eastAsia="es-ES"/>
        </w:rPr>
        <w:t>3. TORNIQUETE FISCAL O COMO SE LLAME EN EL FUTURO</w:t>
      </w:r>
    </w:p>
    <w:p w:rsidR="003472DC" w:rsidRPr="003472DC" w:rsidRDefault="003472DC" w:rsidP="003472DC">
      <w:pPr>
        <w:spacing w:before="80" w:after="0" w:line="240" w:lineRule="auto"/>
        <w:ind w:firstLine="360"/>
        <w:jc w:val="both"/>
        <w:rPr>
          <w:rFonts w:ascii="Verdana" w:eastAsiaTheme="minorEastAsia" w:hAnsi="Verdana" w:cs="Times New Roman"/>
          <w:sz w:val="16"/>
          <w:szCs w:val="16"/>
          <w:lang w:val="es-AR" w:eastAsia="es-ES"/>
        </w:rPr>
      </w:pPr>
      <w:r w:rsidRPr="003472DC">
        <w:rPr>
          <w:rFonts w:ascii="Verdana" w:eastAsiaTheme="minorEastAsia" w:hAnsi="Verdana" w:cs="Times New Roman"/>
          <w:sz w:val="16"/>
          <w:szCs w:val="16"/>
          <w:lang w:val="es-AR" w:eastAsia="es-ES"/>
        </w:rPr>
        <w:t xml:space="preserve">Vale lo resuelto por la Dirección Técnica de ARBA. Para resultar agente de recaudación, se debe cumplir con la condición de territorialidad prevista por el artículo 318 de la disposición normativa B 1/2004 de plena vigencia. Dado que, por lo expresado por ARBA, esta resulta una cláusula general, contemplada en el </w:t>
      </w:r>
      <w:hyperlink r:id="rId12" w:anchor="I_P_Buenos_Aires_DN_1-2004_art_318" w:history="1">
        <w:r w:rsidRPr="003472DC">
          <w:rPr>
            <w:rFonts w:ascii="Verdana" w:eastAsiaTheme="minorEastAsia" w:hAnsi="Verdana" w:cs="Times New Roman"/>
            <w:color w:val="0000FF" w:themeColor="hyperlink"/>
            <w:sz w:val="16"/>
            <w:szCs w:val="16"/>
            <w:u w:val="single"/>
            <w:lang w:val="es-AR" w:eastAsia="es-ES"/>
          </w:rPr>
          <w:t>Capítulo IV: Ingresos brutos del Título V: Agentes de recaudación</w:t>
        </w:r>
      </w:hyperlink>
      <w:r w:rsidRPr="003472DC">
        <w:rPr>
          <w:rFonts w:ascii="Verdana" w:eastAsiaTheme="minorEastAsia" w:hAnsi="Verdana" w:cs="Times New Roman"/>
          <w:sz w:val="16"/>
          <w:szCs w:val="16"/>
          <w:lang w:val="es-AR" w:eastAsia="es-ES"/>
        </w:rPr>
        <w:t>, de la actual disposición normativa 1/2004.</w:t>
      </w:r>
    </w:p>
    <w:p w:rsidR="003472DC" w:rsidRPr="003472DC" w:rsidRDefault="003472DC" w:rsidP="003472DC">
      <w:pPr>
        <w:pBdr>
          <w:bottom w:val="single" w:sz="12" w:space="0" w:color="000000"/>
        </w:pBdr>
        <w:spacing w:before="400" w:line="240" w:lineRule="auto"/>
        <w:jc w:val="both"/>
        <w:rPr>
          <w:rFonts w:ascii="Verdana" w:eastAsiaTheme="minorEastAsia" w:hAnsi="Verdana" w:cs="Times New Roman"/>
          <w:b/>
          <w:bCs/>
          <w:lang w:val="es-AR" w:eastAsia="es-ES"/>
        </w:rPr>
      </w:pPr>
      <w:r w:rsidRPr="003472DC">
        <w:rPr>
          <w:rFonts w:ascii="Verdana" w:eastAsiaTheme="minorEastAsia" w:hAnsi="Verdana" w:cs="Times New Roman"/>
          <w:b/>
          <w:bCs/>
          <w:lang w:val="es-AR" w:eastAsia="es-ES"/>
        </w:rPr>
        <w:t>4. EL DOMICILIO EN LA CIUDAD DE BUENOS AIRES FRENTE A LA CONDICIÓN DE TERRITORIALIDAD BAJO ANÁLISIS</w:t>
      </w:r>
    </w:p>
    <w:p w:rsidR="003472DC" w:rsidRPr="003472DC" w:rsidRDefault="003472DC" w:rsidP="003472DC">
      <w:pPr>
        <w:spacing w:before="80" w:after="0" w:line="240" w:lineRule="auto"/>
        <w:ind w:firstLine="360"/>
        <w:jc w:val="both"/>
        <w:rPr>
          <w:rFonts w:ascii="Verdana" w:eastAsiaTheme="minorEastAsia" w:hAnsi="Verdana" w:cs="Times New Roman"/>
          <w:sz w:val="16"/>
          <w:szCs w:val="16"/>
          <w:lang w:val="es-AR" w:eastAsia="es-ES"/>
        </w:rPr>
      </w:pPr>
      <w:r w:rsidRPr="003472DC">
        <w:rPr>
          <w:rFonts w:ascii="Verdana" w:eastAsiaTheme="minorEastAsia" w:hAnsi="Verdana" w:cs="Times New Roman"/>
          <w:sz w:val="16"/>
          <w:szCs w:val="16"/>
          <w:lang w:val="es-AR" w:eastAsia="es-ES"/>
        </w:rPr>
        <w:t>Probablemente, la cuestión traída a análisis resulte un tema planteado en algún momento. Esto encuentra asidero en lo previsto por el Código Fiscal de la Provincia de Buenos Aires, que establece, en materia de domicilio fiscal:</w:t>
      </w:r>
    </w:p>
    <w:p w:rsidR="003472DC" w:rsidRPr="003472DC" w:rsidRDefault="003472DC" w:rsidP="003472DC">
      <w:pPr>
        <w:spacing w:after="0" w:line="240" w:lineRule="auto"/>
        <w:rPr>
          <w:rFonts w:ascii="Times New Roman" w:eastAsiaTheme="minorEastAsia" w:hAnsi="Times New Roman" w:cs="Times New Roman"/>
          <w:sz w:val="24"/>
          <w:szCs w:val="24"/>
          <w:lang w:val="es-AR" w:eastAsia="es-ES"/>
        </w:rPr>
      </w:pPr>
      <w:r w:rsidRPr="003472DC">
        <w:rPr>
          <w:rFonts w:ascii="Times New Roman" w:eastAsiaTheme="minorEastAsia" w:hAnsi="Times New Roman" w:cs="Times New Roman"/>
          <w:sz w:val="24"/>
          <w:szCs w:val="24"/>
          <w:lang w:val="es-AR" w:eastAsia="es-ES"/>
        </w:rPr>
        <w:t> </w:t>
      </w:r>
    </w:p>
    <w:tbl>
      <w:tblPr>
        <w:tblW w:w="3500" w:type="pct"/>
        <w:jc w:val="center"/>
        <w:tblBorders>
          <w:top w:val="single" w:sz="4" w:space="0" w:color="auto"/>
          <w:left w:val="single" w:sz="4" w:space="0" w:color="auto"/>
          <w:bottom w:val="single" w:sz="4" w:space="0" w:color="auto"/>
          <w:right w:val="single" w:sz="4" w:space="0" w:color="auto"/>
        </w:tblBorders>
        <w:tblCellMar>
          <w:top w:w="62" w:type="dxa"/>
          <w:left w:w="62" w:type="dxa"/>
          <w:bottom w:w="62" w:type="dxa"/>
          <w:right w:w="62" w:type="dxa"/>
        </w:tblCellMar>
        <w:tblLook w:val="01E0"/>
      </w:tblPr>
      <w:tblGrid>
        <w:gridCol w:w="6040"/>
      </w:tblGrid>
      <w:tr w:rsidR="003472DC" w:rsidRPr="003472DC" w:rsidTr="003472DC">
        <w:trPr>
          <w:jc w:val="center"/>
        </w:trPr>
        <w:tc>
          <w:tcPr>
            <w:tcW w:w="8644" w:type="dxa"/>
            <w:tcBorders>
              <w:top w:val="single" w:sz="4" w:space="0" w:color="auto"/>
              <w:left w:val="single" w:sz="4" w:space="0" w:color="auto"/>
              <w:bottom w:val="single" w:sz="4" w:space="0" w:color="auto"/>
              <w:right w:val="single" w:sz="4" w:space="0" w:color="auto"/>
            </w:tcBorders>
            <w:hideMark/>
          </w:tcPr>
          <w:p w:rsidR="003472DC" w:rsidRPr="00C86CE3" w:rsidRDefault="003472DC" w:rsidP="00C86CE3">
            <w:pPr>
              <w:spacing w:after="0" w:line="240" w:lineRule="auto"/>
              <w:jc w:val="both"/>
              <w:rPr>
                <w:rFonts w:ascii="Verdana" w:eastAsiaTheme="minorEastAsia" w:hAnsi="Verdana" w:cs="Times New Roman"/>
                <w:sz w:val="24"/>
                <w:szCs w:val="24"/>
                <w:lang w:eastAsia="es-ES"/>
              </w:rPr>
            </w:pPr>
            <w:r w:rsidRPr="00C86CE3">
              <w:rPr>
                <w:rFonts w:ascii="Verdana" w:eastAsiaTheme="minorEastAsia" w:hAnsi="Verdana" w:cs="Times New Roman"/>
                <w:b/>
                <w:bCs/>
                <w:sz w:val="24"/>
                <w:szCs w:val="24"/>
                <w:lang w:eastAsia="es-ES"/>
              </w:rPr>
              <w:t xml:space="preserve">Art. 32 (parte pertinente) - </w:t>
            </w:r>
            <w:r w:rsidRPr="00C86CE3">
              <w:rPr>
                <w:rFonts w:ascii="Verdana" w:eastAsiaTheme="minorEastAsia" w:hAnsi="Verdana" w:cs="Times New Roman"/>
                <w:sz w:val="24"/>
                <w:szCs w:val="24"/>
                <w:lang w:eastAsia="es-ES"/>
              </w:rPr>
              <w:t xml:space="preserve"> Se entiende por domicilio fiscal de los contribuyentes y responsables el domicilio real o el legal, legislado en el Código Civil, ajustado a lo que establece el presente artículo y a lo que determine la reglamentación.</w:t>
            </w:r>
          </w:p>
          <w:p w:rsidR="003472DC" w:rsidRPr="00C86CE3" w:rsidRDefault="003472DC" w:rsidP="00C86CE3">
            <w:pPr>
              <w:spacing w:after="0" w:line="240" w:lineRule="auto"/>
              <w:jc w:val="both"/>
              <w:rPr>
                <w:rFonts w:ascii="Verdana" w:eastAsiaTheme="minorEastAsia" w:hAnsi="Verdana" w:cs="Times New Roman"/>
                <w:sz w:val="24"/>
                <w:szCs w:val="24"/>
                <w:lang w:eastAsia="es-ES"/>
              </w:rPr>
            </w:pPr>
            <w:r w:rsidRPr="00C86CE3">
              <w:rPr>
                <w:rFonts w:ascii="Verdana" w:eastAsiaTheme="minorEastAsia" w:hAnsi="Verdana" w:cs="Times New Roman"/>
                <w:sz w:val="24"/>
                <w:szCs w:val="24"/>
                <w:lang w:eastAsia="es-ES"/>
              </w:rPr>
              <w:t xml:space="preserve">Cuando el domicilio real o el legal, según el caso, no coincida con el lugar donde esté </w:t>
            </w:r>
            <w:r w:rsidRPr="00C86CE3">
              <w:rPr>
                <w:rFonts w:ascii="Verdana" w:eastAsiaTheme="minorEastAsia" w:hAnsi="Verdana" w:cs="Times New Roman"/>
                <w:sz w:val="24"/>
                <w:szCs w:val="24"/>
                <w:lang w:eastAsia="es-ES"/>
              </w:rPr>
              <w:lastRenderedPageBreak/>
              <w:t>situada la dirección, administración o explotación principal y efectiva de sus actividades dentro de la jurisdicción provincial, este último será el domicilio fiscal.</w:t>
            </w:r>
          </w:p>
          <w:p w:rsidR="003472DC" w:rsidRPr="00C86CE3" w:rsidRDefault="003472DC" w:rsidP="00C86CE3">
            <w:pPr>
              <w:spacing w:after="0" w:line="240" w:lineRule="auto"/>
              <w:jc w:val="both"/>
              <w:rPr>
                <w:rFonts w:ascii="Verdana" w:eastAsiaTheme="minorEastAsia" w:hAnsi="Verdana" w:cs="Times New Roman"/>
                <w:b/>
                <w:i/>
                <w:iCs/>
                <w:sz w:val="24"/>
                <w:szCs w:val="24"/>
                <w:lang w:eastAsia="es-ES"/>
              </w:rPr>
            </w:pPr>
            <w:r w:rsidRPr="00C86CE3">
              <w:rPr>
                <w:rFonts w:ascii="Verdana" w:eastAsiaTheme="minorEastAsia" w:hAnsi="Verdana" w:cs="Times New Roman"/>
                <w:b/>
                <w:i/>
                <w:iCs/>
                <w:sz w:val="24"/>
                <w:szCs w:val="24"/>
                <w:lang w:eastAsia="es-ES"/>
              </w:rPr>
              <w:t>A todos los efectos previstos en el presente artículo, los domicilios ubicados en Ciudad Autónoma de Buenos Aires no se considerarán como de extraña jurisdicción.</w:t>
            </w:r>
          </w:p>
          <w:p w:rsidR="003472DC" w:rsidRPr="003472DC" w:rsidRDefault="003472DC" w:rsidP="00C86CE3">
            <w:pPr>
              <w:spacing w:after="0" w:line="240" w:lineRule="auto"/>
              <w:jc w:val="both"/>
              <w:rPr>
                <w:rFonts w:ascii="Verdana" w:eastAsiaTheme="minorEastAsia" w:hAnsi="Verdana" w:cs="Times New Roman"/>
                <w:sz w:val="15"/>
                <w:szCs w:val="15"/>
                <w:lang w:eastAsia="es-ES"/>
              </w:rPr>
            </w:pPr>
            <w:r w:rsidRPr="00C86CE3">
              <w:rPr>
                <w:rFonts w:ascii="Verdana" w:eastAsiaTheme="minorEastAsia" w:hAnsi="Verdana" w:cs="Times New Roman"/>
                <w:sz w:val="24"/>
                <w:szCs w:val="24"/>
                <w:lang w:eastAsia="es-ES"/>
              </w:rPr>
              <w:t>Cuando el contribuyente o responsable se domicilie fuera del territorio de la Provincia de Buenos Aires, deberá constituir domicilio fiscal dentro del territorio de la Provincia de Buenos Aires.</w:t>
            </w:r>
          </w:p>
        </w:tc>
      </w:tr>
    </w:tbl>
    <w:p w:rsidR="003472DC" w:rsidRPr="003472DC" w:rsidRDefault="003472DC" w:rsidP="003472DC">
      <w:pPr>
        <w:spacing w:after="0" w:line="240" w:lineRule="auto"/>
        <w:rPr>
          <w:rFonts w:ascii="Times New Roman" w:eastAsiaTheme="minorEastAsia" w:hAnsi="Times New Roman" w:cs="Times New Roman"/>
          <w:sz w:val="24"/>
          <w:szCs w:val="24"/>
          <w:lang w:val="es-AR" w:eastAsia="es-ES"/>
        </w:rPr>
      </w:pPr>
      <w:r w:rsidRPr="003472DC">
        <w:rPr>
          <w:rFonts w:ascii="Times New Roman" w:eastAsiaTheme="minorEastAsia" w:hAnsi="Times New Roman" w:cs="Times New Roman"/>
          <w:sz w:val="24"/>
          <w:szCs w:val="24"/>
          <w:lang w:val="es-AR" w:eastAsia="es-ES"/>
        </w:rPr>
        <w:lastRenderedPageBreak/>
        <w:t> </w:t>
      </w:r>
    </w:p>
    <w:p w:rsidR="003472DC" w:rsidRPr="003472DC" w:rsidRDefault="003472DC" w:rsidP="003472DC">
      <w:pPr>
        <w:spacing w:before="80" w:after="0" w:line="240" w:lineRule="auto"/>
        <w:ind w:firstLine="360"/>
        <w:jc w:val="both"/>
        <w:rPr>
          <w:rFonts w:ascii="Verdana" w:eastAsiaTheme="minorEastAsia" w:hAnsi="Verdana" w:cs="Times New Roman"/>
          <w:sz w:val="16"/>
          <w:szCs w:val="16"/>
          <w:lang w:val="es-AR" w:eastAsia="es-ES"/>
        </w:rPr>
      </w:pPr>
      <w:r w:rsidRPr="003472DC">
        <w:rPr>
          <w:rFonts w:ascii="Verdana" w:eastAsiaTheme="minorEastAsia" w:hAnsi="Verdana" w:cs="Times New Roman"/>
          <w:sz w:val="16"/>
          <w:szCs w:val="16"/>
          <w:lang w:val="es-AR" w:eastAsia="es-ES"/>
        </w:rPr>
        <w:t>De ello puede surgir la inquietud, si el tener constituido un domicilio en Ciudad Autónoma de Buenos Aires implica cumplir con la condición de territorialidad prevista por el artículo 318 de la disposición normativa B 1/2004, para resultar agentes de recaudación.</w:t>
      </w:r>
    </w:p>
    <w:p w:rsidR="003472DC" w:rsidRPr="003472DC" w:rsidRDefault="003472DC" w:rsidP="003472DC">
      <w:pPr>
        <w:spacing w:before="80" w:after="0" w:line="240" w:lineRule="auto"/>
        <w:ind w:firstLine="360"/>
        <w:jc w:val="both"/>
        <w:rPr>
          <w:rFonts w:ascii="Verdana" w:eastAsiaTheme="minorEastAsia" w:hAnsi="Verdana" w:cs="Times New Roman"/>
          <w:sz w:val="16"/>
          <w:szCs w:val="16"/>
          <w:lang w:val="es-AR" w:eastAsia="es-ES"/>
        </w:rPr>
      </w:pPr>
      <w:r w:rsidRPr="003472DC">
        <w:rPr>
          <w:rFonts w:ascii="Verdana" w:eastAsiaTheme="minorEastAsia" w:hAnsi="Verdana" w:cs="Times New Roman"/>
          <w:sz w:val="16"/>
          <w:szCs w:val="16"/>
          <w:lang w:val="es-AR" w:eastAsia="es-ES"/>
        </w:rPr>
        <w:t>En respuesta a lo planteado, observamos que lo previsto por el Código Fiscal, en materia exclusiva de domicilio fiscal, resulta una limitación al alcance de extraña jurisdicción, y no una amplitud del concepto territorial, como no podría ser de otra manera. Asimismo, destacamos que la legislación, como así también el informe traído a consideración, al referirse de la condición de territorialidad, lo asimilan al hecho de estar efectivamente establecido en la Provincia de Buenos Aires.</w:t>
      </w:r>
    </w:p>
    <w:p w:rsidR="003472DC" w:rsidRDefault="003472DC" w:rsidP="003472DC">
      <w:pPr>
        <w:spacing w:after="0" w:line="240" w:lineRule="auto"/>
        <w:rPr>
          <w:rFonts w:ascii="Times New Roman" w:eastAsiaTheme="minorEastAsia" w:hAnsi="Times New Roman" w:cs="Times New Roman"/>
          <w:sz w:val="24"/>
          <w:szCs w:val="24"/>
          <w:lang w:val="es-AR" w:eastAsia="es-ES"/>
        </w:rPr>
      </w:pPr>
      <w:r w:rsidRPr="003472DC">
        <w:rPr>
          <w:rFonts w:ascii="Times New Roman" w:eastAsiaTheme="minorEastAsia" w:hAnsi="Times New Roman" w:cs="Times New Roman"/>
          <w:sz w:val="24"/>
          <w:szCs w:val="24"/>
          <w:lang w:val="es-AR" w:eastAsia="es-ES"/>
        </w:rPr>
        <w:t> </w:t>
      </w:r>
    </w:p>
    <w:p w:rsidR="001D155D" w:rsidRDefault="001D155D" w:rsidP="003472DC">
      <w:pPr>
        <w:spacing w:after="0" w:line="240" w:lineRule="auto"/>
        <w:rPr>
          <w:rFonts w:ascii="Times New Roman" w:eastAsiaTheme="minorEastAsia" w:hAnsi="Times New Roman" w:cs="Times New Roman"/>
          <w:sz w:val="24"/>
          <w:szCs w:val="24"/>
          <w:lang w:val="es-AR" w:eastAsia="es-ES"/>
        </w:rPr>
      </w:pPr>
    </w:p>
    <w:p w:rsidR="001D155D" w:rsidRDefault="001D155D" w:rsidP="003472DC">
      <w:pPr>
        <w:spacing w:after="0" w:line="240" w:lineRule="auto"/>
        <w:rPr>
          <w:rFonts w:ascii="Times New Roman" w:eastAsiaTheme="minorEastAsia" w:hAnsi="Times New Roman" w:cs="Times New Roman"/>
          <w:sz w:val="24"/>
          <w:szCs w:val="24"/>
          <w:lang w:val="es-AR" w:eastAsia="es-ES"/>
        </w:rPr>
      </w:pPr>
      <w:r>
        <w:rPr>
          <w:rFonts w:ascii="Times New Roman" w:eastAsiaTheme="minorEastAsia" w:hAnsi="Times New Roman" w:cs="Times New Roman"/>
          <w:sz w:val="24"/>
          <w:szCs w:val="24"/>
          <w:lang w:val="es-AR" w:eastAsia="es-ES"/>
        </w:rPr>
        <w:t>DOCUMENTO:</w:t>
      </w:r>
    </w:p>
    <w:p w:rsidR="001D155D" w:rsidRDefault="001D155D" w:rsidP="001D155D">
      <w:r>
        <w:t>PUBLICACIÓN: EDITORIAL ERREPAR</w:t>
      </w:r>
    </w:p>
    <w:tbl>
      <w:tblPr>
        <w:tblW w:w="5000" w:type="pct"/>
        <w:tblCellMar>
          <w:top w:w="15" w:type="dxa"/>
          <w:left w:w="15" w:type="dxa"/>
          <w:bottom w:w="15" w:type="dxa"/>
          <w:right w:w="15" w:type="dxa"/>
        </w:tblCellMar>
        <w:tblLook w:val="04A0"/>
      </w:tblPr>
      <w:tblGrid>
        <w:gridCol w:w="1673"/>
        <w:gridCol w:w="6951"/>
      </w:tblGrid>
      <w:tr w:rsidR="001D155D" w:rsidRPr="001D155D" w:rsidTr="00DC4A8E">
        <w:tc>
          <w:tcPr>
            <w:tcW w:w="0" w:type="auto"/>
            <w:tcMar>
              <w:top w:w="60" w:type="dxa"/>
              <w:left w:w="60" w:type="dxa"/>
              <w:bottom w:w="60" w:type="dxa"/>
              <w:right w:w="60" w:type="dxa"/>
            </w:tcMa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 xml:space="preserve">TÍTULO: </w:t>
            </w:r>
          </w:p>
        </w:tc>
        <w:tc>
          <w:tcPr>
            <w:tcW w:w="0" w:type="auto"/>
            <w:tcMar>
              <w:top w:w="60" w:type="dxa"/>
              <w:left w:w="60" w:type="dxa"/>
              <w:bottom w:w="60" w:type="dxa"/>
              <w:right w:w="60" w:type="dxa"/>
            </w:tcMar>
            <w:vAlign w:val="cente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Buenos Aires. Ingresos brutos. Los regímenes especiales y su condición -también- de territorialidad</w:t>
            </w:r>
          </w:p>
        </w:tc>
      </w:tr>
      <w:tr w:rsidR="001D155D" w:rsidRPr="001D155D" w:rsidTr="00DC4A8E">
        <w:tc>
          <w:tcPr>
            <w:tcW w:w="0" w:type="auto"/>
            <w:tcMar>
              <w:top w:w="60" w:type="dxa"/>
              <w:left w:w="60" w:type="dxa"/>
              <w:bottom w:w="60" w:type="dxa"/>
              <w:right w:w="60" w:type="dxa"/>
            </w:tcMa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 xml:space="preserve">AUTOR/ES: </w:t>
            </w:r>
          </w:p>
        </w:tc>
        <w:tc>
          <w:tcPr>
            <w:tcW w:w="0" w:type="auto"/>
            <w:tcMar>
              <w:top w:w="60" w:type="dxa"/>
              <w:left w:w="60" w:type="dxa"/>
              <w:bottom w:w="60" w:type="dxa"/>
              <w:right w:w="60" w:type="dxa"/>
            </w:tcMar>
            <w:vAlign w:val="cente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Alaniz, José A.</w:t>
            </w:r>
          </w:p>
        </w:tc>
      </w:tr>
      <w:tr w:rsidR="001D155D" w:rsidRPr="001D155D" w:rsidTr="00DC4A8E">
        <w:tc>
          <w:tcPr>
            <w:tcW w:w="0" w:type="auto"/>
            <w:tcMar>
              <w:top w:w="60" w:type="dxa"/>
              <w:left w:w="60" w:type="dxa"/>
              <w:bottom w:w="60" w:type="dxa"/>
              <w:right w:w="60" w:type="dxa"/>
            </w:tcMa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 xml:space="preserve">PUBLICACIÓN: </w:t>
            </w:r>
          </w:p>
        </w:tc>
        <w:tc>
          <w:tcPr>
            <w:tcW w:w="0" w:type="auto"/>
            <w:tcMar>
              <w:top w:w="60" w:type="dxa"/>
              <w:left w:w="60" w:type="dxa"/>
              <w:bottom w:w="60" w:type="dxa"/>
              <w:right w:w="60" w:type="dxa"/>
            </w:tcMar>
            <w:vAlign w:val="cente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Práctica Integral Buenos Aires (PIBA)</w:t>
            </w:r>
          </w:p>
        </w:tc>
      </w:tr>
      <w:tr w:rsidR="001D155D" w:rsidRPr="001D155D" w:rsidTr="00DC4A8E">
        <w:tc>
          <w:tcPr>
            <w:tcW w:w="0" w:type="auto"/>
            <w:tcMar>
              <w:top w:w="60" w:type="dxa"/>
              <w:left w:w="60" w:type="dxa"/>
              <w:bottom w:w="60" w:type="dxa"/>
              <w:right w:w="60" w:type="dxa"/>
            </w:tcMa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 xml:space="preserve">TOMO/BOLETÍN: </w:t>
            </w:r>
          </w:p>
        </w:tc>
        <w:tc>
          <w:tcPr>
            <w:tcW w:w="0" w:type="auto"/>
            <w:tcMar>
              <w:top w:w="60" w:type="dxa"/>
              <w:left w:w="60" w:type="dxa"/>
              <w:bottom w:w="60" w:type="dxa"/>
              <w:right w:w="60" w:type="dxa"/>
            </w:tcMar>
            <w:vAlign w:val="cente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V</w:t>
            </w:r>
          </w:p>
        </w:tc>
      </w:tr>
      <w:tr w:rsidR="001D155D" w:rsidRPr="001D155D" w:rsidTr="00DC4A8E">
        <w:tc>
          <w:tcPr>
            <w:tcW w:w="0" w:type="auto"/>
            <w:tcMar>
              <w:top w:w="60" w:type="dxa"/>
              <w:left w:w="60" w:type="dxa"/>
              <w:bottom w:w="60" w:type="dxa"/>
              <w:right w:w="60" w:type="dxa"/>
            </w:tcMa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 xml:space="preserve">MES: </w:t>
            </w:r>
          </w:p>
        </w:tc>
        <w:tc>
          <w:tcPr>
            <w:tcW w:w="0" w:type="auto"/>
            <w:tcMar>
              <w:top w:w="60" w:type="dxa"/>
              <w:left w:w="60" w:type="dxa"/>
              <w:bottom w:w="60" w:type="dxa"/>
              <w:right w:w="60" w:type="dxa"/>
            </w:tcMar>
            <w:vAlign w:val="cente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Julio</w:t>
            </w:r>
          </w:p>
        </w:tc>
      </w:tr>
      <w:tr w:rsidR="001D155D" w:rsidRPr="001D155D" w:rsidTr="00DC4A8E">
        <w:tc>
          <w:tcPr>
            <w:tcW w:w="0" w:type="auto"/>
            <w:tcMar>
              <w:top w:w="60" w:type="dxa"/>
              <w:left w:w="60" w:type="dxa"/>
              <w:bottom w:w="60" w:type="dxa"/>
              <w:right w:w="60" w:type="dxa"/>
            </w:tcMa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 xml:space="preserve">AÑO: </w:t>
            </w:r>
          </w:p>
        </w:tc>
        <w:tc>
          <w:tcPr>
            <w:tcW w:w="0" w:type="auto"/>
            <w:tcMar>
              <w:top w:w="60" w:type="dxa"/>
              <w:left w:w="60" w:type="dxa"/>
              <w:bottom w:w="60" w:type="dxa"/>
              <w:right w:w="60" w:type="dxa"/>
            </w:tcMar>
            <w:vAlign w:val="center"/>
            <w:hideMark/>
          </w:tcPr>
          <w:p w:rsidR="001D155D" w:rsidRPr="001D155D" w:rsidRDefault="001D155D" w:rsidP="00DC4A8E">
            <w:pPr>
              <w:spacing w:after="0" w:line="240" w:lineRule="auto"/>
              <w:ind w:left="105" w:right="105"/>
              <w:rPr>
                <w:rFonts w:ascii="Verdana" w:eastAsia="Times New Roman" w:hAnsi="Verdana" w:cs="Times New Roman"/>
                <w:sz w:val="16"/>
                <w:szCs w:val="16"/>
                <w:lang w:val="es-AR" w:eastAsia="es-AR"/>
              </w:rPr>
            </w:pPr>
            <w:r w:rsidRPr="001D155D">
              <w:rPr>
                <w:rFonts w:ascii="Verdana" w:eastAsia="Times New Roman" w:hAnsi="Verdana" w:cs="Times New Roman"/>
                <w:sz w:val="16"/>
                <w:szCs w:val="16"/>
                <w:lang w:val="es-AR" w:eastAsia="es-AR"/>
              </w:rPr>
              <w:t>2013</w:t>
            </w:r>
          </w:p>
        </w:tc>
      </w:tr>
    </w:tbl>
    <w:p w:rsidR="001D155D" w:rsidRPr="003472DC" w:rsidRDefault="001D155D" w:rsidP="003472DC">
      <w:pPr>
        <w:spacing w:after="0" w:line="240" w:lineRule="auto"/>
        <w:rPr>
          <w:rFonts w:ascii="Times New Roman" w:eastAsiaTheme="minorEastAsia" w:hAnsi="Times New Roman" w:cs="Times New Roman"/>
          <w:sz w:val="24"/>
          <w:szCs w:val="24"/>
          <w:lang w:val="es-AR" w:eastAsia="es-ES"/>
        </w:rPr>
      </w:pPr>
    </w:p>
    <w:p w:rsidR="003472DC" w:rsidRPr="003472DC" w:rsidRDefault="003472DC" w:rsidP="003472DC">
      <w:pPr>
        <w:pBdr>
          <w:top w:val="single" w:sz="6" w:space="5" w:color="808080"/>
        </w:pBdr>
        <w:spacing w:before="400" w:after="0" w:line="240" w:lineRule="auto"/>
        <w:jc w:val="both"/>
        <w:rPr>
          <w:rFonts w:ascii="Verdana" w:eastAsiaTheme="minorEastAsia" w:hAnsi="Verdana" w:cs="Times New Roman"/>
          <w:b/>
          <w:bCs/>
          <w:sz w:val="16"/>
          <w:szCs w:val="16"/>
          <w:lang w:val="es-AR" w:eastAsia="es-ES"/>
        </w:rPr>
      </w:pPr>
      <w:r w:rsidRPr="003472DC">
        <w:rPr>
          <w:rFonts w:ascii="Verdana" w:eastAsiaTheme="minorEastAsia" w:hAnsi="Verdana" w:cs="Times New Roman"/>
          <w:b/>
          <w:bCs/>
          <w:sz w:val="16"/>
          <w:szCs w:val="16"/>
          <w:lang w:val="es-AR" w:eastAsia="es-ES"/>
        </w:rPr>
        <w:t>Notas:</w:t>
      </w:r>
    </w:p>
    <w:p w:rsidR="003472DC" w:rsidRPr="003472DC" w:rsidRDefault="003472DC" w:rsidP="003472DC">
      <w:pPr>
        <w:spacing w:after="0" w:line="240" w:lineRule="auto"/>
        <w:jc w:val="both"/>
        <w:rPr>
          <w:rFonts w:ascii="Verdana" w:eastAsiaTheme="minorEastAsia" w:hAnsi="Verdana" w:cs="Times New Roman"/>
          <w:sz w:val="15"/>
          <w:szCs w:val="15"/>
          <w:lang w:val="es-AR" w:eastAsia="es-ES"/>
        </w:rPr>
      </w:pPr>
      <w:bookmarkStart w:id="0" w:name="PIBA_ALANIZ_Q1"/>
      <w:bookmarkEnd w:id="0"/>
      <w:r w:rsidRPr="003472DC">
        <w:rPr>
          <w:rFonts w:ascii="Verdana" w:eastAsiaTheme="minorEastAsia" w:hAnsi="Verdana" w:cs="Times New Roman"/>
          <w:sz w:val="15"/>
          <w:szCs w:val="15"/>
          <w:lang w:val="es-AR" w:eastAsia="es-ES"/>
        </w:rPr>
        <w:t xml:space="preserve">[1:] Alaniz, José A.: </w:t>
      </w:r>
      <w:r w:rsidRPr="003472DC">
        <w:rPr>
          <w:rFonts w:ascii="Verdana" w:eastAsiaTheme="minorEastAsia" w:hAnsi="Verdana" w:cs="Times New Roman"/>
          <w:color w:val="0000FF" w:themeColor="hyperlink"/>
          <w:sz w:val="15"/>
          <w:szCs w:val="15"/>
          <w:u w:val="single"/>
          <w:lang w:val="es-AR" w:eastAsia="es-ES"/>
        </w:rPr>
        <w:t>“Contribuyentes del Convenio Multilateral. Efectivas condiciones para resultar agentes de recaudación por ARBA. Vigencia y alcance de la condición de la territorialidad”</w:t>
      </w:r>
      <w:r w:rsidRPr="003472DC">
        <w:rPr>
          <w:rFonts w:ascii="Verdana" w:eastAsiaTheme="minorEastAsia" w:hAnsi="Verdana" w:cs="Times New Roman"/>
          <w:sz w:val="15"/>
          <w:szCs w:val="15"/>
          <w:lang w:val="es-AR" w:eastAsia="es-ES"/>
        </w:rPr>
        <w:t xml:space="preserve"> - ERREPAR - PIBA - Nº 38 - abril/2012 - T. IV</w:t>
      </w:r>
    </w:p>
    <w:p w:rsidR="003472DC" w:rsidRPr="003472DC" w:rsidRDefault="003472DC" w:rsidP="003472DC">
      <w:pPr>
        <w:spacing w:after="0" w:line="240" w:lineRule="auto"/>
        <w:jc w:val="both"/>
        <w:rPr>
          <w:rFonts w:ascii="Verdana" w:eastAsiaTheme="minorEastAsia" w:hAnsi="Verdana" w:cs="Times New Roman"/>
          <w:sz w:val="15"/>
          <w:szCs w:val="15"/>
          <w:lang w:val="es-AR" w:eastAsia="es-ES"/>
        </w:rPr>
      </w:pPr>
      <w:bookmarkStart w:id="1" w:name="PIBA_ALANIZ_Q2"/>
      <w:bookmarkEnd w:id="1"/>
      <w:r w:rsidRPr="003472DC">
        <w:rPr>
          <w:rFonts w:ascii="Verdana" w:eastAsiaTheme="minorEastAsia" w:hAnsi="Verdana" w:cs="Times New Roman"/>
          <w:sz w:val="15"/>
          <w:szCs w:val="15"/>
          <w:lang w:val="es-AR" w:eastAsia="es-ES"/>
        </w:rPr>
        <w:t xml:space="preserve">[2:] Alaniz, José A.: </w:t>
      </w:r>
      <w:r w:rsidRPr="003472DC">
        <w:rPr>
          <w:rFonts w:ascii="Verdana" w:eastAsiaTheme="minorEastAsia" w:hAnsi="Verdana" w:cs="Times New Roman"/>
          <w:color w:val="0000FF" w:themeColor="hyperlink"/>
          <w:sz w:val="15"/>
          <w:szCs w:val="15"/>
          <w:u w:val="single"/>
          <w:lang w:val="es-AR" w:eastAsia="es-ES"/>
        </w:rPr>
        <w:t>“ARBA incrementa la cantidad de agentes de recaudación. La resolución normativa 41/2012: A la caza de contribuyentes”</w:t>
      </w:r>
      <w:r w:rsidRPr="003472DC">
        <w:rPr>
          <w:rFonts w:ascii="Verdana" w:eastAsiaTheme="minorEastAsia" w:hAnsi="Verdana" w:cs="Times New Roman"/>
          <w:sz w:val="15"/>
          <w:szCs w:val="15"/>
          <w:lang w:val="es-AR" w:eastAsia="es-ES"/>
        </w:rPr>
        <w:t xml:space="preserve"> - ERREPAR - PAT - Nº 732 - T. XX</w:t>
      </w:r>
    </w:p>
    <w:p w:rsidR="003472DC" w:rsidRPr="003472DC" w:rsidRDefault="003472DC">
      <w:pPr>
        <w:rPr>
          <w:lang w:val="es-AR"/>
        </w:rPr>
      </w:pPr>
    </w:p>
    <w:sectPr w:rsidR="003472DC" w:rsidRPr="003472DC" w:rsidSect="00D6722B">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E0C" w:rsidRDefault="00F65E0C" w:rsidP="00991579">
      <w:pPr>
        <w:spacing w:after="0" w:line="240" w:lineRule="auto"/>
      </w:pPr>
      <w:r>
        <w:separator/>
      </w:r>
    </w:p>
  </w:endnote>
  <w:endnote w:type="continuationSeparator" w:id="0">
    <w:p w:rsidR="00F65E0C" w:rsidRDefault="00F65E0C" w:rsidP="00991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9" w:rsidRDefault="0099157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9" w:rsidRDefault="00991579" w:rsidP="00991579">
    <w:pPr>
      <w:pStyle w:val="Piedepgina"/>
      <w:jc w:val="right"/>
    </w:pPr>
    <w:proofErr w:type="spellStart"/>
    <w:r>
      <w:t>Twitter</w:t>
    </w:r>
    <w:proofErr w:type="spellEnd"/>
    <w:r>
      <w:t>: @</w:t>
    </w:r>
    <w:proofErr w:type="spellStart"/>
    <w:r>
      <w:t>contactoalaniz</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9" w:rsidRDefault="009915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E0C" w:rsidRDefault="00F65E0C" w:rsidP="00991579">
      <w:pPr>
        <w:spacing w:after="0" w:line="240" w:lineRule="auto"/>
      </w:pPr>
      <w:r>
        <w:separator/>
      </w:r>
    </w:p>
  </w:footnote>
  <w:footnote w:type="continuationSeparator" w:id="0">
    <w:p w:rsidR="00F65E0C" w:rsidRDefault="00F65E0C" w:rsidP="00991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9" w:rsidRDefault="0099157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9" w:rsidRDefault="0099157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9" w:rsidRDefault="0099157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72DC"/>
    <w:rsid w:val="00027B30"/>
    <w:rsid w:val="001D155D"/>
    <w:rsid w:val="003472DC"/>
    <w:rsid w:val="00353B3E"/>
    <w:rsid w:val="004641C8"/>
    <w:rsid w:val="006C4D0F"/>
    <w:rsid w:val="007F3596"/>
    <w:rsid w:val="008C0F8C"/>
    <w:rsid w:val="008E5471"/>
    <w:rsid w:val="00991579"/>
    <w:rsid w:val="009E713F"/>
    <w:rsid w:val="00C86CE3"/>
    <w:rsid w:val="00CA2870"/>
    <w:rsid w:val="00D6722B"/>
    <w:rsid w:val="00F65E0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472DC"/>
    <w:rPr>
      <w:color w:val="0000FF" w:themeColor="hyperlink"/>
      <w:u w:val="single"/>
    </w:rPr>
  </w:style>
  <w:style w:type="paragraph" w:customStyle="1" w:styleId="textocpo10-derecha-autor">
    <w:name w:val="textocpo10-derecha-autor"/>
    <w:basedOn w:val="Normal"/>
    <w:rsid w:val="003472DC"/>
    <w:pPr>
      <w:spacing w:before="300" w:after="0" w:line="240" w:lineRule="auto"/>
      <w:jc w:val="right"/>
    </w:pPr>
    <w:rPr>
      <w:rFonts w:ascii="Verdana" w:eastAsiaTheme="minorEastAsia" w:hAnsi="Verdana" w:cs="Times New Roman"/>
      <w:b/>
      <w:bCs/>
      <w:sz w:val="20"/>
      <w:szCs w:val="20"/>
      <w:lang w:eastAsia="es-ES"/>
    </w:rPr>
  </w:style>
  <w:style w:type="paragraph" w:customStyle="1" w:styleId="titulocpo14-centrado-negrita">
    <w:name w:val="titulocpo14-centrado-negrita"/>
    <w:basedOn w:val="Normal"/>
    <w:rsid w:val="003472DC"/>
    <w:pPr>
      <w:spacing w:before="360" w:after="120" w:line="240" w:lineRule="auto"/>
      <w:jc w:val="center"/>
    </w:pPr>
    <w:rPr>
      <w:rFonts w:ascii="Verdana" w:eastAsiaTheme="minorEastAsia" w:hAnsi="Verdana" w:cs="Times New Roman"/>
      <w:b/>
      <w:bCs/>
      <w:sz w:val="24"/>
      <w:szCs w:val="24"/>
      <w:lang w:eastAsia="es-ES"/>
    </w:rPr>
  </w:style>
  <w:style w:type="paragraph" w:customStyle="1" w:styleId="titulocp11craya">
    <w:name w:val="titulocp11craya"/>
    <w:basedOn w:val="Normal"/>
    <w:rsid w:val="003472DC"/>
    <w:pPr>
      <w:pBdr>
        <w:bottom w:val="single" w:sz="12" w:space="0" w:color="000000"/>
      </w:pBdr>
      <w:spacing w:before="400" w:line="240" w:lineRule="auto"/>
      <w:jc w:val="both"/>
    </w:pPr>
    <w:rPr>
      <w:rFonts w:ascii="Verdana" w:eastAsiaTheme="minorEastAsia" w:hAnsi="Verdana" w:cs="Times New Roman"/>
      <w:b/>
      <w:bCs/>
      <w:lang w:eastAsia="es-ES"/>
    </w:rPr>
  </w:style>
  <w:style w:type="paragraph" w:customStyle="1" w:styleId="rotulonovedades">
    <w:name w:val="rotulonovedades"/>
    <w:basedOn w:val="Normal"/>
    <w:rsid w:val="003472DC"/>
    <w:pPr>
      <w:spacing w:after="0" w:line="240" w:lineRule="auto"/>
    </w:pPr>
    <w:rPr>
      <w:rFonts w:ascii="Verdana" w:eastAsiaTheme="minorEastAsia" w:hAnsi="Verdana" w:cs="Times New Roman"/>
      <w:sz w:val="16"/>
      <w:szCs w:val="16"/>
      <w:lang w:eastAsia="es-ES"/>
    </w:rPr>
  </w:style>
  <w:style w:type="paragraph" w:customStyle="1" w:styleId="sangrianovedades">
    <w:name w:val="sangrianovedades"/>
    <w:basedOn w:val="Normal"/>
    <w:qFormat/>
    <w:rsid w:val="003472DC"/>
    <w:pPr>
      <w:spacing w:before="80" w:after="0" w:line="240" w:lineRule="auto"/>
      <w:ind w:firstLine="360"/>
      <w:jc w:val="both"/>
    </w:pPr>
    <w:rPr>
      <w:rFonts w:ascii="Verdana" w:eastAsiaTheme="minorEastAsia" w:hAnsi="Verdana" w:cs="Times New Roman"/>
      <w:sz w:val="16"/>
      <w:szCs w:val="16"/>
      <w:lang w:eastAsia="es-ES"/>
    </w:rPr>
  </w:style>
  <w:style w:type="paragraph" w:customStyle="1" w:styleId="tablacentrado8">
    <w:name w:val="tablacentrado8"/>
    <w:basedOn w:val="Normal"/>
    <w:qFormat/>
    <w:rsid w:val="003472DC"/>
    <w:pPr>
      <w:spacing w:after="0" w:line="240" w:lineRule="auto"/>
      <w:jc w:val="center"/>
    </w:pPr>
    <w:rPr>
      <w:rFonts w:ascii="Verdana" w:eastAsiaTheme="minorEastAsia" w:hAnsi="Verdana" w:cs="Times New Roman"/>
      <w:sz w:val="15"/>
      <w:szCs w:val="15"/>
      <w:lang w:eastAsia="es-ES"/>
    </w:rPr>
  </w:style>
  <w:style w:type="paragraph" w:customStyle="1" w:styleId="tablaizquierda8">
    <w:name w:val="tablaizquierda8"/>
    <w:basedOn w:val="Normal"/>
    <w:qFormat/>
    <w:rsid w:val="003472DC"/>
    <w:pPr>
      <w:spacing w:after="0" w:line="240" w:lineRule="auto"/>
    </w:pPr>
    <w:rPr>
      <w:rFonts w:ascii="Verdana" w:eastAsiaTheme="minorEastAsia" w:hAnsi="Verdana" w:cs="Times New Roman"/>
      <w:sz w:val="15"/>
      <w:szCs w:val="15"/>
      <w:lang w:eastAsia="es-ES"/>
    </w:rPr>
  </w:style>
  <w:style w:type="paragraph" w:customStyle="1" w:styleId="a1erfrances8novedades">
    <w:name w:val="a1erfrances8novedades"/>
    <w:basedOn w:val="Normal"/>
    <w:rsid w:val="003472DC"/>
    <w:pPr>
      <w:spacing w:after="0" w:line="240" w:lineRule="auto"/>
      <w:ind w:left="360"/>
      <w:jc w:val="both"/>
    </w:pPr>
    <w:rPr>
      <w:rFonts w:ascii="Verdana" w:eastAsiaTheme="minorEastAsia" w:hAnsi="Verdana" w:cs="Times New Roman"/>
      <w:sz w:val="15"/>
      <w:szCs w:val="15"/>
      <w:lang w:eastAsia="es-ES"/>
    </w:rPr>
  </w:style>
  <w:style w:type="paragraph" w:customStyle="1" w:styleId="texto8novedades">
    <w:name w:val="texto8novedades"/>
    <w:basedOn w:val="Normal"/>
    <w:rsid w:val="003472DC"/>
    <w:pPr>
      <w:spacing w:after="0" w:line="240" w:lineRule="auto"/>
      <w:jc w:val="both"/>
    </w:pPr>
    <w:rPr>
      <w:rFonts w:ascii="Verdana" w:eastAsiaTheme="minorEastAsia" w:hAnsi="Verdana" w:cs="Times New Roman"/>
      <w:sz w:val="15"/>
      <w:szCs w:val="15"/>
      <w:lang w:eastAsia="es-ES"/>
    </w:rPr>
  </w:style>
  <w:style w:type="paragraph" w:customStyle="1" w:styleId="textonovedades">
    <w:name w:val="textonovedades"/>
    <w:basedOn w:val="Normal"/>
    <w:qFormat/>
    <w:rsid w:val="003472DC"/>
    <w:pPr>
      <w:spacing w:before="120" w:after="0" w:line="240" w:lineRule="auto"/>
      <w:jc w:val="both"/>
    </w:pPr>
    <w:rPr>
      <w:rFonts w:ascii="Verdana" w:eastAsiaTheme="minorEastAsia" w:hAnsi="Verdana" w:cs="Times New Roman"/>
      <w:sz w:val="16"/>
      <w:szCs w:val="16"/>
      <w:lang w:eastAsia="es-ES"/>
    </w:rPr>
  </w:style>
  <w:style w:type="paragraph" w:customStyle="1" w:styleId="lineanegranovedades">
    <w:name w:val="lineanegranovedades"/>
    <w:basedOn w:val="Normal"/>
    <w:rsid w:val="003472DC"/>
    <w:pPr>
      <w:pBdr>
        <w:top w:val="single" w:sz="6" w:space="7" w:color="000000"/>
      </w:pBdr>
      <w:spacing w:before="140" w:after="0" w:line="240" w:lineRule="auto"/>
      <w:jc w:val="both"/>
    </w:pPr>
    <w:rPr>
      <w:rFonts w:ascii="Verdana" w:eastAsiaTheme="minorEastAsia" w:hAnsi="Verdana" w:cs="Times New Roman"/>
      <w:sz w:val="16"/>
      <w:szCs w:val="16"/>
      <w:lang w:eastAsia="es-ES"/>
    </w:rPr>
  </w:style>
  <w:style w:type="paragraph" w:customStyle="1" w:styleId="notasnovedades">
    <w:name w:val="notasnovedades"/>
    <w:basedOn w:val="Normal"/>
    <w:rsid w:val="003472DC"/>
    <w:pPr>
      <w:pBdr>
        <w:top w:val="single" w:sz="6" w:space="5" w:color="808080"/>
      </w:pBdr>
      <w:spacing w:before="400" w:after="0" w:line="240" w:lineRule="auto"/>
      <w:jc w:val="both"/>
    </w:pPr>
    <w:rPr>
      <w:rFonts w:ascii="Verdana" w:eastAsiaTheme="minorEastAsia" w:hAnsi="Verdana" w:cs="Times New Roman"/>
      <w:b/>
      <w:bCs/>
      <w:sz w:val="16"/>
      <w:szCs w:val="16"/>
      <w:lang w:eastAsia="es-ES"/>
    </w:rPr>
  </w:style>
  <w:style w:type="character" w:customStyle="1" w:styleId="cursivanovedades">
    <w:name w:val="cursivanovedades"/>
    <w:basedOn w:val="Fuentedeprrafopredeter"/>
    <w:qFormat/>
    <w:rsid w:val="003472DC"/>
    <w:rPr>
      <w:rFonts w:ascii="Verdana" w:hAnsi="Verdana" w:hint="default"/>
      <w:i/>
      <w:iCs/>
    </w:rPr>
  </w:style>
  <w:style w:type="character" w:customStyle="1" w:styleId="negritacursivanovedades">
    <w:name w:val="negritacursivanovedades"/>
    <w:basedOn w:val="Fuentedeprrafopredeter"/>
    <w:qFormat/>
    <w:rsid w:val="003472DC"/>
    <w:rPr>
      <w:rFonts w:ascii="Verdana" w:hAnsi="Verdana" w:hint="default"/>
      <w:b/>
      <w:bCs/>
      <w:i/>
      <w:iCs/>
    </w:rPr>
  </w:style>
  <w:style w:type="character" w:customStyle="1" w:styleId="negritanovedades">
    <w:name w:val="negritanovedades"/>
    <w:basedOn w:val="Fuentedeprrafopredeter"/>
    <w:qFormat/>
    <w:rsid w:val="003472DC"/>
    <w:rPr>
      <w:b/>
      <w:bCs/>
    </w:rPr>
  </w:style>
  <w:style w:type="character" w:customStyle="1" w:styleId="subrayadocursivanovedades">
    <w:name w:val="subrayadocursivanovedades"/>
    <w:basedOn w:val="Fuentedeprrafopredeter"/>
    <w:rsid w:val="003472DC"/>
    <w:rPr>
      <w:rFonts w:ascii="Verdana" w:hAnsi="Verdana" w:hint="default"/>
      <w:i/>
      <w:iCs/>
      <w:sz w:val="16"/>
      <w:szCs w:val="16"/>
      <w:u w:val="single"/>
    </w:rPr>
  </w:style>
  <w:style w:type="paragraph" w:styleId="Textodeglobo">
    <w:name w:val="Balloon Text"/>
    <w:basedOn w:val="Normal"/>
    <w:link w:val="TextodegloboCar"/>
    <w:uiPriority w:val="99"/>
    <w:semiHidden/>
    <w:unhideWhenUsed/>
    <w:rsid w:val="003472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2DC"/>
    <w:rPr>
      <w:rFonts w:ascii="Tahoma" w:hAnsi="Tahoma" w:cs="Tahoma"/>
      <w:sz w:val="16"/>
      <w:szCs w:val="16"/>
    </w:rPr>
  </w:style>
  <w:style w:type="paragraph" w:styleId="Encabezado">
    <w:name w:val="header"/>
    <w:basedOn w:val="Normal"/>
    <w:link w:val="EncabezadoCar"/>
    <w:uiPriority w:val="99"/>
    <w:semiHidden/>
    <w:unhideWhenUsed/>
    <w:rsid w:val="00991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91579"/>
  </w:style>
  <w:style w:type="paragraph" w:styleId="Piedepgina">
    <w:name w:val="footer"/>
    <w:basedOn w:val="Normal"/>
    <w:link w:val="PiedepginaCar"/>
    <w:uiPriority w:val="99"/>
    <w:semiHidden/>
    <w:unhideWhenUsed/>
    <w:rsid w:val="009915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91579"/>
  </w:style>
  <w:style w:type="paragraph" w:customStyle="1" w:styleId="rotulonovedades1">
    <w:name w:val="rotulonovedades1"/>
    <w:basedOn w:val="Normal"/>
    <w:rsid w:val="001D155D"/>
    <w:pPr>
      <w:spacing w:after="0" w:line="240" w:lineRule="auto"/>
      <w:ind w:left="105" w:right="105"/>
    </w:pPr>
    <w:rPr>
      <w:rFonts w:ascii="Verdana" w:eastAsia="Times New Roman" w:hAnsi="Verdana" w:cs="Times New Roman"/>
      <w:sz w:val="16"/>
      <w:szCs w:val="16"/>
      <w:lang w:val="es-AR" w:eastAsia="es-AR"/>
    </w:rPr>
  </w:style>
  <w:style w:type="character" w:customStyle="1" w:styleId="highlight">
    <w:name w:val="highlight"/>
    <w:basedOn w:val="Fuentedeprrafopredeter"/>
    <w:rsid w:val="001D155D"/>
  </w:style>
</w:styles>
</file>

<file path=word/webSettings.xml><?xml version="1.0" encoding="utf-8"?>
<w:webSettings xmlns:r="http://schemas.openxmlformats.org/officeDocument/2006/relationships" xmlns:w="http://schemas.openxmlformats.org/wordprocessingml/2006/main">
  <w:divs>
    <w:div w:id="70006617">
      <w:bodyDiv w:val="1"/>
      <w:marLeft w:val="0"/>
      <w:marRight w:val="0"/>
      <w:marTop w:val="0"/>
      <w:marBottom w:val="0"/>
      <w:divBdr>
        <w:top w:val="none" w:sz="0" w:space="0" w:color="auto"/>
        <w:left w:val="none" w:sz="0" w:space="0" w:color="auto"/>
        <w:bottom w:val="none" w:sz="0" w:space="0" w:color="auto"/>
        <w:right w:val="none" w:sz="0" w:space="0" w:color="auto"/>
      </w:divBdr>
    </w:div>
    <w:div w:id="1787699043">
      <w:bodyDiv w:val="1"/>
      <w:marLeft w:val="0"/>
      <w:marRight w:val="0"/>
      <w:marTop w:val="0"/>
      <w:marBottom w:val="0"/>
      <w:divBdr>
        <w:top w:val="none" w:sz="0" w:space="0" w:color="auto"/>
        <w:left w:val="none" w:sz="0" w:space="0" w:color="auto"/>
        <w:bottom w:val="none" w:sz="0" w:space="0" w:color="auto"/>
        <w:right w:val="none" w:sz="0" w:space="0" w:color="auto"/>
      </w:divBdr>
      <w:divsChild>
        <w:div w:id="40418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errepar.com/sitios/eolgestion/_layouts/ErreparVerHtml/PageWriter.ashx?id=/sitios/eolgestion/Legislacion/20110807085306202.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ol.errepar.com/sitios/eolgestion/_layouts/ErreparVerHtml/PageWriter.ashx?id=/sitios/eolgestion/Legislacion/20110807083810539.docx" TargetMode="External"/><Relationship Id="rId12" Type="http://schemas.openxmlformats.org/officeDocument/2006/relationships/hyperlink" Target="http://eol.errepar.com/sitios/eolgestion/_layouts/ErreparVerHtml/PageWriter.ashx?id=/sitios/eolgestion/Legislacion/20110807085306202.docx"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ol.errepar.com/sitios/eolgestion/_layouts/ErreparVerHtml/PageWriter.ashx?id=/sitios/eolgestion/Doctrina/20130708094433036.docx" TargetMode="External"/><Relationship Id="rId11" Type="http://schemas.openxmlformats.org/officeDocument/2006/relationships/hyperlink" Target="http://eol.errepar.com/sitios/eolgestion/_layouts/ErreparVerHtml/PageWriter.ashx?id=/sitios/eolgestion/Doctrina/20130708094433036.doc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eol.errepar.com/sitios/eolgestion/_layouts/ErreparVerHtml/PageWriter.ashx?id=/sitios/eolgestion/Legislacion/20121005051904687.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ol.errepar.com/sitios/eolgestion/_layouts/ErreparVerHtml/PageWriter.ashx?id=/sitios/eolgestion/Legislacion/20110807085306202.doc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9295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2</cp:revision>
  <dcterms:created xsi:type="dcterms:W3CDTF">2014-04-28T13:49:00Z</dcterms:created>
  <dcterms:modified xsi:type="dcterms:W3CDTF">2014-04-28T13:49:00Z</dcterms:modified>
</cp:coreProperties>
</file>